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CF86" w14:textId="3E4E10EC" w:rsidR="00D81A31" w:rsidRPr="00E73D9C" w:rsidRDefault="00D81A31" w:rsidP="00E73D9C">
      <w:pPr>
        <w:pStyle w:val="Heading1-Statement"/>
      </w:pPr>
      <w:r w:rsidRPr="00E73D9C">
        <w:rPr>
          <w:rStyle w:val="Strong"/>
        </w:rPr>
        <w:t xml:space="preserve">Statement </w:t>
      </w:r>
      <w:r w:rsidR="00D907F8" w:rsidRPr="00E73D9C">
        <w:rPr>
          <w:rStyle w:val="Strong"/>
        </w:rPr>
        <w:t>5</w:t>
      </w:r>
      <w:r w:rsidR="00D73B0A" w:rsidRPr="00E73D9C">
        <w:rPr>
          <w:rStyle w:val="Strong"/>
        </w:rPr>
        <w:t>:</w:t>
      </w:r>
      <w:r w:rsidRPr="00E73D9C">
        <w:rPr>
          <w:rStyle w:val="Strong"/>
        </w:rPr>
        <w:t xml:space="preserve"> </w:t>
      </w:r>
      <w:r w:rsidRPr="00E73D9C">
        <w:rPr>
          <w:rStyle w:val="Strong"/>
        </w:rPr>
        <w:br/>
      </w:r>
      <w:r w:rsidR="00D907F8" w:rsidRPr="00E73D9C">
        <w:t>Revenue</w:t>
      </w:r>
    </w:p>
    <w:p w14:paraId="7B7AD04E" w14:textId="711FD19C" w:rsidR="00E66FC4" w:rsidRPr="00966BD4" w:rsidRDefault="00CB1E10" w:rsidP="00774E24">
      <w:r w:rsidRPr="00966BD4">
        <w:t>Near</w:t>
      </w:r>
      <w:r w:rsidR="00E66FC4" w:rsidRPr="00966BD4">
        <w:t xml:space="preserve"> record levels of participation and employment</w:t>
      </w:r>
      <w:r w:rsidR="00C0528D" w:rsidRPr="00966BD4">
        <w:t>, a pick</w:t>
      </w:r>
      <w:r w:rsidR="001B77CF">
        <w:noBreakHyphen/>
      </w:r>
      <w:r w:rsidR="00C0528D" w:rsidRPr="00966BD4">
        <w:t>up in wage</w:t>
      </w:r>
      <w:r w:rsidR="00F53DBC" w:rsidRPr="00966BD4">
        <w:t>s</w:t>
      </w:r>
      <w:r w:rsidR="00C0528D" w:rsidRPr="00966BD4">
        <w:t xml:space="preserve"> growth</w:t>
      </w:r>
      <w:r w:rsidR="00E66FC4" w:rsidRPr="00966BD4">
        <w:t xml:space="preserve"> and sustained high commodity prices</w:t>
      </w:r>
      <w:r w:rsidR="00453E45" w:rsidRPr="00966BD4">
        <w:t xml:space="preserve"> </w:t>
      </w:r>
      <w:r w:rsidR="00CA1666" w:rsidRPr="00966BD4">
        <w:t xml:space="preserve">are </w:t>
      </w:r>
      <w:r w:rsidR="00E17C8F" w:rsidRPr="00966BD4">
        <w:t>support</w:t>
      </w:r>
      <w:r w:rsidR="00CA1666" w:rsidRPr="00966BD4">
        <w:t>ing</w:t>
      </w:r>
      <w:r w:rsidR="001D51AD" w:rsidRPr="00966BD4">
        <w:t xml:space="preserve"> a rapid recovery in</w:t>
      </w:r>
      <w:r w:rsidR="00453E45" w:rsidRPr="00966BD4">
        <w:t xml:space="preserve"> receipts </w:t>
      </w:r>
      <w:r w:rsidR="009E2FAE" w:rsidRPr="00966BD4">
        <w:t xml:space="preserve">following </w:t>
      </w:r>
      <w:r w:rsidR="00D434B4">
        <w:br/>
      </w:r>
      <w:r w:rsidR="009E2FAE" w:rsidRPr="00966BD4">
        <w:t>the pandemic</w:t>
      </w:r>
      <w:r w:rsidR="004A49CD">
        <w:t>.</w:t>
      </w:r>
      <w:r w:rsidR="004372FF" w:rsidRPr="00966BD4">
        <w:t xml:space="preserve"> </w:t>
      </w:r>
    </w:p>
    <w:p w14:paraId="6DC07BB7" w14:textId="6CB93C7D" w:rsidR="00FA67FF" w:rsidRPr="00966BD4" w:rsidRDefault="00B951C5" w:rsidP="00774E24">
      <w:r w:rsidRPr="00966BD4">
        <w:t>Since the October Budget, tax receipts have been revised up by $</w:t>
      </w:r>
      <w:r w:rsidR="004A75A6" w:rsidRPr="00966BD4">
        <w:t>42.0</w:t>
      </w:r>
      <w:r w:rsidRPr="00966BD4">
        <w:t xml:space="preserve"> billion in 202</w:t>
      </w:r>
      <w:r w:rsidR="00C06B77" w:rsidRPr="00966BD4">
        <w:t>3</w:t>
      </w:r>
      <w:r w:rsidR="000F18C9" w:rsidRPr="00966BD4">
        <w:rPr>
          <w:rFonts w:ascii="Calibri" w:hAnsi="Calibri" w:cs="Calibri"/>
        </w:rPr>
        <w:t>–</w:t>
      </w:r>
      <w:r w:rsidR="00C06B77" w:rsidRPr="00966BD4">
        <w:t>24</w:t>
      </w:r>
      <w:r w:rsidRPr="00966BD4">
        <w:t xml:space="preserve"> </w:t>
      </w:r>
      <w:r w:rsidR="00D434B4">
        <w:br/>
      </w:r>
      <w:r w:rsidRPr="00966BD4">
        <w:t>and $</w:t>
      </w:r>
      <w:r w:rsidR="00E54BAC" w:rsidRPr="00966BD4">
        <w:t>134.</w:t>
      </w:r>
      <w:r w:rsidR="00563BD0" w:rsidRPr="00966BD4">
        <w:t>8</w:t>
      </w:r>
      <w:r w:rsidRPr="00966BD4">
        <w:t xml:space="preserve"> billion over the 5 years </w:t>
      </w:r>
      <w:r w:rsidR="00C06B77" w:rsidRPr="00966BD4">
        <w:t>from 2022</w:t>
      </w:r>
      <w:r w:rsidR="000F18C9" w:rsidRPr="00966BD4">
        <w:rPr>
          <w:rFonts w:ascii="Calibri" w:hAnsi="Calibri" w:cs="Calibri"/>
        </w:rPr>
        <w:t>–</w:t>
      </w:r>
      <w:r w:rsidR="00C06B77" w:rsidRPr="00966BD4">
        <w:t xml:space="preserve">23 </w:t>
      </w:r>
      <w:r w:rsidRPr="00966BD4">
        <w:t>to 2026</w:t>
      </w:r>
      <w:r w:rsidR="000F18C9" w:rsidRPr="00966BD4">
        <w:rPr>
          <w:rFonts w:ascii="Calibri" w:hAnsi="Calibri" w:cs="Calibri"/>
        </w:rPr>
        <w:t>–</w:t>
      </w:r>
      <w:r w:rsidRPr="00966BD4">
        <w:t>27.</w:t>
      </w:r>
      <w:r w:rsidR="00FA0BE1" w:rsidRPr="00966BD4">
        <w:t xml:space="preserve"> </w:t>
      </w:r>
      <w:r w:rsidR="001056E1" w:rsidRPr="00966BD4">
        <w:t xml:space="preserve">A majority of this </w:t>
      </w:r>
      <w:r w:rsidR="00CE3362" w:rsidRPr="00966BD4">
        <w:t xml:space="preserve">upgrade </w:t>
      </w:r>
      <w:r w:rsidR="001056E1" w:rsidRPr="00966BD4">
        <w:t xml:space="preserve">is concentrated in the </w:t>
      </w:r>
      <w:r w:rsidR="0018674C" w:rsidRPr="00966BD4">
        <w:t xml:space="preserve">near term, </w:t>
      </w:r>
      <w:r w:rsidR="00D003CA" w:rsidRPr="00966BD4">
        <w:t xml:space="preserve">underpinned </w:t>
      </w:r>
      <w:r w:rsidR="00D04FD5" w:rsidRPr="00966BD4">
        <w:t xml:space="preserve">by a </w:t>
      </w:r>
      <w:r w:rsidR="000805E6" w:rsidRPr="00966BD4">
        <w:rPr>
          <w:rStyle w:val="normaltextrun"/>
          <w:szCs w:val="19"/>
        </w:rPr>
        <w:t xml:space="preserve">strong labour market and higher commodity </w:t>
      </w:r>
      <w:r w:rsidR="00D04FD5" w:rsidRPr="00966BD4">
        <w:rPr>
          <w:rStyle w:val="normaltextrun"/>
          <w:szCs w:val="19"/>
        </w:rPr>
        <w:t>prices</w:t>
      </w:r>
      <w:r w:rsidR="00550060" w:rsidRPr="00966BD4">
        <w:t>.</w:t>
      </w:r>
      <w:r w:rsidR="00E4286E" w:rsidRPr="00966BD4">
        <w:t xml:space="preserve"> </w:t>
      </w:r>
    </w:p>
    <w:p w14:paraId="1DB9E0D6" w14:textId="57102626" w:rsidR="00BC4D6C" w:rsidRPr="00966BD4" w:rsidRDefault="0018674C" w:rsidP="00774E24">
      <w:r w:rsidRPr="00966BD4">
        <w:t>T</w:t>
      </w:r>
      <w:r w:rsidR="008808D7" w:rsidRPr="00966BD4">
        <w:t>he strong upgrade to t</w:t>
      </w:r>
      <w:r w:rsidR="002534E6" w:rsidRPr="00966BD4">
        <w:t xml:space="preserve">ax receipts </w:t>
      </w:r>
      <w:r w:rsidR="00EA5440" w:rsidRPr="00966BD4">
        <w:t xml:space="preserve">is expected to </w:t>
      </w:r>
      <w:r w:rsidR="002534E6" w:rsidRPr="00966BD4">
        <w:t xml:space="preserve">moderate </w:t>
      </w:r>
      <w:r w:rsidR="00E2308A" w:rsidRPr="00966BD4">
        <w:t>after 2023</w:t>
      </w:r>
      <w:r w:rsidR="000F18C9" w:rsidRPr="00966BD4">
        <w:rPr>
          <w:rFonts w:ascii="Calibri" w:hAnsi="Calibri" w:cs="Calibri"/>
        </w:rPr>
        <w:t>–</w:t>
      </w:r>
      <w:r w:rsidR="00E2308A" w:rsidRPr="00966BD4">
        <w:t xml:space="preserve">24 </w:t>
      </w:r>
      <w:r w:rsidR="002534E6" w:rsidRPr="00966BD4">
        <w:t xml:space="preserve">as commodity prices </w:t>
      </w:r>
      <w:proofErr w:type="gramStart"/>
      <w:r w:rsidR="002534E6" w:rsidRPr="00966BD4">
        <w:t>are</w:t>
      </w:r>
      <w:proofErr w:type="gramEnd"/>
      <w:r w:rsidR="002534E6" w:rsidRPr="00966BD4">
        <w:t xml:space="preserve"> </w:t>
      </w:r>
      <w:r w:rsidR="00184E1B" w:rsidRPr="00966BD4">
        <w:t>assumed to return to long</w:t>
      </w:r>
      <w:r w:rsidR="001B77CF">
        <w:noBreakHyphen/>
      </w:r>
      <w:r w:rsidR="00184E1B" w:rsidRPr="00966BD4">
        <w:t>run levels and conditions in the labour market ease.</w:t>
      </w:r>
    </w:p>
    <w:p w14:paraId="53433B41" w14:textId="26477C89" w:rsidR="004D69DC" w:rsidRPr="00E0267E" w:rsidRDefault="004D69DC" w:rsidP="00774E24">
      <w:r w:rsidRPr="00966BD4">
        <w:t>Excluding GST</w:t>
      </w:r>
      <w:r w:rsidR="00B611E8" w:rsidRPr="00966BD4">
        <w:t xml:space="preserve"> and policy decisions</w:t>
      </w:r>
      <w:r w:rsidRPr="00966BD4">
        <w:t>, tax receipts have been revised up $</w:t>
      </w:r>
      <w:r w:rsidR="00E77215" w:rsidRPr="00966BD4">
        <w:t>4</w:t>
      </w:r>
      <w:r w:rsidR="00554BDD" w:rsidRPr="00966BD4">
        <w:t>1</w:t>
      </w:r>
      <w:r w:rsidR="00A05055" w:rsidRPr="00966BD4">
        <w:t>.</w:t>
      </w:r>
      <w:r w:rsidR="00554BDD" w:rsidRPr="00966BD4">
        <w:t>2</w:t>
      </w:r>
      <w:r w:rsidRPr="00966BD4">
        <w:t xml:space="preserve"> billion in 2023</w:t>
      </w:r>
      <w:r w:rsidR="000F18C9" w:rsidRPr="00966BD4">
        <w:rPr>
          <w:rFonts w:ascii="Calibri" w:hAnsi="Calibri" w:cs="Calibri"/>
        </w:rPr>
        <w:t>–</w:t>
      </w:r>
      <w:r w:rsidRPr="00966BD4">
        <w:t>24 and $</w:t>
      </w:r>
      <w:r w:rsidR="00091C08" w:rsidRPr="00966BD4">
        <w:t>11</w:t>
      </w:r>
      <w:r w:rsidR="00B13DD5" w:rsidRPr="00966BD4">
        <w:t>4</w:t>
      </w:r>
      <w:r w:rsidR="00113E61" w:rsidRPr="00966BD4">
        <w:t>.</w:t>
      </w:r>
      <w:r w:rsidR="00734B97" w:rsidRPr="00966BD4">
        <w:t>2</w:t>
      </w:r>
      <w:r w:rsidRPr="00966BD4">
        <w:t xml:space="preserve"> billion over the 5 years from 2022</w:t>
      </w:r>
      <w:r w:rsidR="000F18C9" w:rsidRPr="00966BD4">
        <w:rPr>
          <w:rFonts w:ascii="Calibri" w:hAnsi="Calibri" w:cs="Calibri"/>
        </w:rPr>
        <w:t>–</w:t>
      </w:r>
      <w:r w:rsidRPr="00966BD4">
        <w:t>23 to 2026</w:t>
      </w:r>
      <w:r w:rsidR="000F18C9" w:rsidRPr="00966BD4">
        <w:rPr>
          <w:rFonts w:ascii="Calibri" w:hAnsi="Calibri" w:cs="Calibri"/>
        </w:rPr>
        <w:t>–</w:t>
      </w:r>
      <w:r w:rsidRPr="00966BD4">
        <w:t>27.</w:t>
      </w:r>
      <w:r w:rsidRPr="00E0267E">
        <w:t xml:space="preserve"> </w:t>
      </w:r>
      <w:r w:rsidR="00F02ED6" w:rsidRPr="00966BD4">
        <w:t xml:space="preserve">The </w:t>
      </w:r>
      <w:r w:rsidR="003B7B0B" w:rsidRPr="00966BD4">
        <w:t>G</w:t>
      </w:r>
      <w:r w:rsidR="00F02ED6" w:rsidRPr="00966BD4">
        <w:t>overnment is returning most of the improvement in tax receipts to the budget. 87 per cent of the tax upgrades in the past 2 Budgets are being returned (82 per cent this Budget).</w:t>
      </w:r>
    </w:p>
    <w:p w14:paraId="1501239F" w14:textId="6D033633" w:rsidR="00D907F8" w:rsidRPr="00966BD4" w:rsidRDefault="00A11DC9" w:rsidP="00774E24">
      <w:r w:rsidRPr="00966BD4">
        <w:t>Elevated r</w:t>
      </w:r>
      <w:r w:rsidR="00577AF4" w:rsidRPr="00966BD4">
        <w:t>isks to the global outlook</w:t>
      </w:r>
      <w:r w:rsidR="001B55B3" w:rsidRPr="00966BD4">
        <w:t>, volatility in commodity prices</w:t>
      </w:r>
      <w:r w:rsidR="00577AF4" w:rsidRPr="00966BD4">
        <w:t xml:space="preserve"> and </w:t>
      </w:r>
      <w:r w:rsidRPr="00966BD4">
        <w:t>uncertain</w:t>
      </w:r>
      <w:r w:rsidR="009A0DC9" w:rsidRPr="00966BD4">
        <w:t>ty</w:t>
      </w:r>
      <w:r w:rsidRPr="00966BD4">
        <w:t xml:space="preserve"> around</w:t>
      </w:r>
      <w:r w:rsidR="00577AF4" w:rsidRPr="00966BD4">
        <w:t xml:space="preserve"> </w:t>
      </w:r>
      <w:r w:rsidR="009A0DC9" w:rsidRPr="00966BD4">
        <w:t xml:space="preserve">the response </w:t>
      </w:r>
      <w:r w:rsidR="00890DF5" w:rsidRPr="00966BD4">
        <w:t xml:space="preserve">of </w:t>
      </w:r>
      <w:r w:rsidR="00577AF4" w:rsidRPr="00966BD4">
        <w:t xml:space="preserve">households to rising interest </w:t>
      </w:r>
      <w:r w:rsidR="0032645A" w:rsidRPr="00966BD4">
        <w:t>rates</w:t>
      </w:r>
      <w:r w:rsidR="00577AF4" w:rsidRPr="00966BD4">
        <w:t xml:space="preserve"> </w:t>
      </w:r>
      <w:r w:rsidR="00A82690" w:rsidRPr="00966BD4">
        <w:t xml:space="preserve">mean that </w:t>
      </w:r>
      <w:r w:rsidR="00E2362B" w:rsidRPr="00966BD4">
        <w:t xml:space="preserve">tax receipts will </w:t>
      </w:r>
      <w:r w:rsidRPr="00966BD4">
        <w:t xml:space="preserve">remain vulnerable </w:t>
      </w:r>
      <w:r w:rsidR="00535698" w:rsidRPr="00966BD4">
        <w:t>to</w:t>
      </w:r>
      <w:r w:rsidRPr="00966BD4">
        <w:t xml:space="preserve"> </w:t>
      </w:r>
      <w:r w:rsidR="00634717" w:rsidRPr="00966BD4">
        <w:t xml:space="preserve">the </w:t>
      </w:r>
      <w:r w:rsidRPr="00966BD4">
        <w:t>chang</w:t>
      </w:r>
      <w:r w:rsidR="00634717" w:rsidRPr="00966BD4">
        <w:t>ing</w:t>
      </w:r>
      <w:r w:rsidRPr="00966BD4">
        <w:t xml:space="preserve"> outlook for some time.</w:t>
      </w:r>
      <w:r w:rsidR="00E2362B" w:rsidRPr="00966BD4">
        <w:t xml:space="preserve"> </w:t>
      </w:r>
    </w:p>
    <w:p w14:paraId="19D9AE39" w14:textId="5E2FDB76" w:rsidR="00C53DDE" w:rsidRPr="00E0267E" w:rsidRDefault="00B84330" w:rsidP="00774E24">
      <w:r w:rsidRPr="00966BD4">
        <w:t xml:space="preserve">Policy decisions in this Budget focus on reforms to make </w:t>
      </w:r>
      <w:r w:rsidR="00893411" w:rsidRPr="00966BD4">
        <w:t>the tax system</w:t>
      </w:r>
      <w:r w:rsidRPr="00966BD4">
        <w:t xml:space="preserve"> fairer and more sustainable</w:t>
      </w:r>
      <w:r w:rsidR="004503E0" w:rsidRPr="00966BD4">
        <w:t>,</w:t>
      </w:r>
      <w:r w:rsidR="002903D2" w:rsidRPr="00966BD4">
        <w:t xml:space="preserve"> </w:t>
      </w:r>
      <w:r w:rsidR="00893411" w:rsidRPr="00966BD4">
        <w:t>policies to support small business</w:t>
      </w:r>
      <w:r w:rsidRPr="00966BD4">
        <w:t xml:space="preserve"> and </w:t>
      </w:r>
      <w:r w:rsidR="00893411" w:rsidRPr="00966BD4">
        <w:t>housing</w:t>
      </w:r>
      <w:r w:rsidR="002B5AB3" w:rsidRPr="00966BD4">
        <w:t xml:space="preserve"> and measures </w:t>
      </w:r>
      <w:r w:rsidR="009B1E0A" w:rsidRPr="00966BD4">
        <w:t>to enhance tax system compliance and integrity</w:t>
      </w:r>
      <w:r w:rsidR="000C6CA0" w:rsidRPr="00966BD4">
        <w:t>.</w:t>
      </w:r>
      <w:r w:rsidR="00D907F8" w:rsidRPr="00966BD4">
        <w:t xml:space="preserve"> Policy decisions since </w:t>
      </w:r>
      <w:r w:rsidR="006C36C0" w:rsidRPr="00966BD4">
        <w:t xml:space="preserve">the October Budget </w:t>
      </w:r>
      <w:r w:rsidR="00D907F8" w:rsidRPr="00966BD4">
        <w:t>are expected to increase tax receipts by $</w:t>
      </w:r>
      <w:r w:rsidR="005968A4" w:rsidRPr="00966BD4">
        <w:t>1.3</w:t>
      </w:r>
      <w:r w:rsidR="00D907F8" w:rsidRPr="00966BD4">
        <w:t xml:space="preserve"> </w:t>
      </w:r>
      <w:r w:rsidR="005968A4" w:rsidRPr="00966BD4">
        <w:t>b</w:t>
      </w:r>
      <w:r w:rsidR="00D907F8" w:rsidRPr="00966BD4">
        <w:t xml:space="preserve">illion in </w:t>
      </w:r>
      <w:r w:rsidR="006C36C0" w:rsidRPr="00966BD4">
        <w:t>2023</w:t>
      </w:r>
      <w:r w:rsidR="000F18C9" w:rsidRPr="00966BD4">
        <w:rPr>
          <w:rFonts w:ascii="Calibri" w:hAnsi="Calibri" w:cs="Calibri"/>
        </w:rPr>
        <w:t>–</w:t>
      </w:r>
      <w:r w:rsidR="006C36C0" w:rsidRPr="00966BD4">
        <w:t>24</w:t>
      </w:r>
      <w:r w:rsidR="00D907F8" w:rsidRPr="00966BD4">
        <w:t xml:space="preserve"> and $</w:t>
      </w:r>
      <w:r w:rsidR="005968A4" w:rsidRPr="00966BD4">
        <w:t>19.</w:t>
      </w:r>
      <w:r w:rsidR="002E5BC9" w:rsidRPr="00966BD4">
        <w:t>1</w:t>
      </w:r>
      <w:r w:rsidR="00D907F8" w:rsidRPr="00966BD4">
        <w:t xml:space="preserve"> billion over the </w:t>
      </w:r>
      <w:r w:rsidR="0033056D" w:rsidRPr="00966BD4">
        <w:t>5</w:t>
      </w:r>
      <w:r w:rsidR="007C2036" w:rsidRPr="00966BD4">
        <w:t> </w:t>
      </w:r>
      <w:r w:rsidR="00D907F8" w:rsidRPr="00966BD4">
        <w:t xml:space="preserve">years </w:t>
      </w:r>
      <w:r w:rsidR="00706016" w:rsidRPr="00966BD4">
        <w:t xml:space="preserve">from </w:t>
      </w:r>
      <w:r w:rsidR="009539DE" w:rsidRPr="00966BD4">
        <w:t xml:space="preserve">  </w:t>
      </w:r>
      <w:r w:rsidR="00115EA6" w:rsidRPr="00966BD4">
        <w:t>2022</w:t>
      </w:r>
      <w:r w:rsidR="000F18C9" w:rsidRPr="00966BD4">
        <w:rPr>
          <w:rFonts w:ascii="Calibri" w:hAnsi="Calibri" w:cs="Calibri"/>
        </w:rPr>
        <w:t>–</w:t>
      </w:r>
      <w:r w:rsidR="00115EA6" w:rsidRPr="00966BD4">
        <w:t xml:space="preserve">23 </w:t>
      </w:r>
      <w:r w:rsidR="00D907F8" w:rsidRPr="00966BD4">
        <w:t>to 20</w:t>
      </w:r>
      <w:r w:rsidR="006C36C0" w:rsidRPr="00966BD4">
        <w:t>26</w:t>
      </w:r>
      <w:r w:rsidR="009B5854" w:rsidRPr="00966BD4">
        <w:t>–</w:t>
      </w:r>
      <w:r w:rsidR="006C36C0" w:rsidRPr="00966BD4">
        <w:t>27.</w:t>
      </w:r>
      <w:r w:rsidR="00E923AB" w:rsidRPr="00966BD4">
        <w:t xml:space="preserve"> </w:t>
      </w:r>
    </w:p>
    <w:p w14:paraId="6BA14947" w14:textId="0D7E819B" w:rsidR="00CE13D3" w:rsidRPr="00E0267E" w:rsidRDefault="00CE13D3" w:rsidP="00774E24">
      <w:r w:rsidRPr="00E0267E">
        <w:br w:type="page"/>
      </w:r>
    </w:p>
    <w:p w14:paraId="493ECCA8" w14:textId="17B534BF" w:rsidR="00CE13D3" w:rsidRPr="00E0267E" w:rsidRDefault="00CE13D3" w:rsidP="00774E24"/>
    <w:p w14:paraId="34F30E99" w14:textId="77777777" w:rsidR="00D81A31" w:rsidRPr="00E0267E" w:rsidRDefault="00D81A31" w:rsidP="00774E24">
      <w:pPr>
        <w:sectPr w:rsidR="00D81A31" w:rsidRPr="00E0267E" w:rsidSect="00FE7F65">
          <w:headerReference w:type="even" r:id="rId11"/>
          <w:footerReference w:type="default" r:id="rId12"/>
          <w:headerReference w:type="first" r:id="rId13"/>
          <w:footerReference w:type="first" r:id="rId14"/>
          <w:type w:val="oddPage"/>
          <w:pgSz w:w="11906" w:h="16838" w:code="9"/>
          <w:pgMar w:top="2835" w:right="2098" w:bottom="2466" w:left="2098" w:header="1814" w:footer="1814" w:gutter="0"/>
          <w:pgNumType w:start="163"/>
          <w:cols w:space="708"/>
          <w:titlePg/>
          <w:docGrid w:linePitch="360"/>
        </w:sectPr>
      </w:pPr>
    </w:p>
    <w:p w14:paraId="2432A92D" w14:textId="77777777" w:rsidR="00D81A31" w:rsidRPr="00E0267E" w:rsidRDefault="00D81A31" w:rsidP="00AA71F1">
      <w:pPr>
        <w:pStyle w:val="ContentsHeading"/>
      </w:pPr>
      <w:r w:rsidRPr="00E0267E">
        <w:lastRenderedPageBreak/>
        <w:t>Statement contents</w:t>
      </w:r>
    </w:p>
    <w:p w14:paraId="5F45FFFD" w14:textId="3121D970" w:rsidR="00A8147C" w:rsidRPr="00E0267E" w:rsidRDefault="00433DC4">
      <w:pPr>
        <w:pStyle w:val="TOC1"/>
        <w:rPr>
          <w:rFonts w:asciiTheme="minorHAnsi" w:eastAsiaTheme="minorEastAsia" w:hAnsiTheme="minorHAnsi" w:cstheme="minorBidi"/>
          <w:b w:val="0"/>
          <w:noProof/>
          <w:sz w:val="22"/>
          <w:szCs w:val="22"/>
        </w:rPr>
      </w:pPr>
      <w:r w:rsidRPr="00E0267E">
        <w:fldChar w:fldCharType="begin"/>
      </w:r>
      <w:r w:rsidRPr="00E0267E">
        <w:instrText xml:space="preserve"> TOC \h \z \u \t "Heading 2,1,Heading 3,2" </w:instrText>
      </w:r>
      <w:r w:rsidRPr="00E0267E">
        <w:fldChar w:fldCharType="separate"/>
      </w:r>
      <w:hyperlink w:anchor="_Toc134182344" w:history="1">
        <w:r w:rsidR="00A8147C" w:rsidRPr="00E0267E">
          <w:rPr>
            <w:rStyle w:val="Hyperlink"/>
            <w:noProof/>
          </w:rPr>
          <w:t>Overview</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_Toc134182344 \h </w:instrText>
        </w:r>
        <w:r w:rsidR="00A8147C" w:rsidRPr="00E0267E">
          <w:rPr>
            <w:noProof/>
            <w:webHidden/>
          </w:rPr>
        </w:r>
        <w:r w:rsidR="00A8147C" w:rsidRPr="00E0267E">
          <w:rPr>
            <w:noProof/>
            <w:webHidden/>
          </w:rPr>
          <w:fldChar w:fldCharType="separate"/>
        </w:r>
        <w:r w:rsidR="00C4781B">
          <w:rPr>
            <w:noProof/>
            <w:webHidden/>
          </w:rPr>
          <w:t>167</w:t>
        </w:r>
        <w:r w:rsidR="00A8147C" w:rsidRPr="00E0267E">
          <w:rPr>
            <w:noProof/>
            <w:webHidden/>
          </w:rPr>
          <w:fldChar w:fldCharType="end"/>
        </w:r>
      </w:hyperlink>
    </w:p>
    <w:p w14:paraId="1B7A7729" w14:textId="62222743" w:rsidR="00A8147C" w:rsidRPr="00E0267E" w:rsidRDefault="00F14BE1">
      <w:pPr>
        <w:pStyle w:val="TOC2"/>
        <w:rPr>
          <w:rFonts w:asciiTheme="minorHAnsi" w:eastAsiaTheme="minorEastAsia" w:hAnsiTheme="minorHAnsi" w:cstheme="minorBidi"/>
          <w:noProof/>
          <w:sz w:val="22"/>
          <w:szCs w:val="22"/>
        </w:rPr>
      </w:pPr>
      <w:hyperlink w:anchor="_Toc134182345" w:history="1">
        <w:r w:rsidR="00A8147C" w:rsidRPr="00E0267E">
          <w:rPr>
            <w:rStyle w:val="Hyperlink"/>
            <w:noProof/>
          </w:rPr>
          <w:t>Current year tax collections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_Toc134182345 \h </w:instrText>
        </w:r>
        <w:r w:rsidR="00A8147C" w:rsidRPr="00E0267E">
          <w:rPr>
            <w:noProof/>
            <w:webHidden/>
          </w:rPr>
        </w:r>
        <w:r w:rsidR="00A8147C" w:rsidRPr="00E0267E">
          <w:rPr>
            <w:noProof/>
            <w:webHidden/>
          </w:rPr>
          <w:fldChar w:fldCharType="separate"/>
        </w:r>
        <w:r w:rsidR="00C4781B">
          <w:rPr>
            <w:noProof/>
            <w:webHidden/>
          </w:rPr>
          <w:t>168</w:t>
        </w:r>
        <w:r w:rsidR="00A8147C" w:rsidRPr="00E0267E">
          <w:rPr>
            <w:noProof/>
            <w:webHidden/>
          </w:rPr>
          <w:fldChar w:fldCharType="end"/>
        </w:r>
      </w:hyperlink>
    </w:p>
    <w:p w14:paraId="443A2919" w14:textId="34FAA7D5" w:rsidR="00A8147C" w:rsidRPr="00E0267E" w:rsidRDefault="00F14BE1">
      <w:pPr>
        <w:pStyle w:val="TOC2"/>
        <w:rPr>
          <w:rFonts w:asciiTheme="minorHAnsi" w:eastAsiaTheme="minorEastAsia" w:hAnsiTheme="minorHAnsi" w:cstheme="minorBidi"/>
          <w:noProof/>
          <w:sz w:val="22"/>
          <w:szCs w:val="22"/>
        </w:rPr>
      </w:pPr>
      <w:hyperlink w:anchor="_Toc134182346" w:history="1">
        <w:r w:rsidR="00A8147C" w:rsidRPr="00E0267E">
          <w:rPr>
            <w:rStyle w:val="Hyperlink"/>
            <w:noProof/>
          </w:rPr>
          <w:t>Tax receipts outlook</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_Toc134182346 \h </w:instrText>
        </w:r>
        <w:r w:rsidR="00A8147C" w:rsidRPr="00E0267E">
          <w:rPr>
            <w:noProof/>
            <w:webHidden/>
          </w:rPr>
        </w:r>
        <w:r w:rsidR="00A8147C" w:rsidRPr="00E0267E">
          <w:rPr>
            <w:noProof/>
            <w:webHidden/>
          </w:rPr>
          <w:fldChar w:fldCharType="separate"/>
        </w:r>
        <w:r w:rsidR="00C4781B">
          <w:rPr>
            <w:noProof/>
            <w:webHidden/>
          </w:rPr>
          <w:t>169</w:t>
        </w:r>
        <w:r w:rsidR="00A8147C" w:rsidRPr="00E0267E">
          <w:rPr>
            <w:noProof/>
            <w:webHidden/>
          </w:rPr>
          <w:fldChar w:fldCharType="end"/>
        </w:r>
      </w:hyperlink>
    </w:p>
    <w:p w14:paraId="06478FAF" w14:textId="5CF439EE" w:rsidR="00A8147C" w:rsidRPr="00E0267E" w:rsidRDefault="00F14BE1">
      <w:pPr>
        <w:pStyle w:val="TOC1"/>
        <w:rPr>
          <w:rFonts w:asciiTheme="minorHAnsi" w:eastAsiaTheme="minorEastAsia" w:hAnsiTheme="minorHAnsi" w:cstheme="minorBidi"/>
          <w:b w:val="0"/>
          <w:noProof/>
          <w:sz w:val="22"/>
          <w:szCs w:val="22"/>
        </w:rPr>
      </w:pPr>
      <w:hyperlink w:anchor="_Toc134182347" w:history="1">
        <w:r w:rsidR="00A8147C" w:rsidRPr="00E0267E">
          <w:rPr>
            <w:rStyle w:val="Hyperlink"/>
            <w:noProof/>
          </w:rPr>
          <w:t>Variations in receipts estimates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_Toc134182347 \h </w:instrText>
        </w:r>
        <w:r w:rsidR="00A8147C" w:rsidRPr="00E0267E">
          <w:rPr>
            <w:noProof/>
            <w:webHidden/>
          </w:rPr>
        </w:r>
        <w:r w:rsidR="00A8147C" w:rsidRPr="00E0267E">
          <w:rPr>
            <w:noProof/>
            <w:webHidden/>
          </w:rPr>
          <w:fldChar w:fldCharType="separate"/>
        </w:r>
        <w:r w:rsidR="00C4781B">
          <w:rPr>
            <w:noProof/>
            <w:webHidden/>
          </w:rPr>
          <w:t>171</w:t>
        </w:r>
        <w:r w:rsidR="00A8147C" w:rsidRPr="00E0267E">
          <w:rPr>
            <w:noProof/>
            <w:webHidden/>
          </w:rPr>
          <w:fldChar w:fldCharType="end"/>
        </w:r>
      </w:hyperlink>
    </w:p>
    <w:p w14:paraId="025FD9C3" w14:textId="0333ED79" w:rsidR="00A8147C" w:rsidRPr="00E0267E" w:rsidRDefault="00F14BE1">
      <w:pPr>
        <w:pStyle w:val="TOC2"/>
        <w:rPr>
          <w:rFonts w:asciiTheme="minorHAnsi" w:eastAsiaTheme="minorEastAsia" w:hAnsiTheme="minorHAnsi" w:cstheme="minorBidi"/>
          <w:noProof/>
          <w:sz w:val="22"/>
          <w:szCs w:val="22"/>
        </w:rPr>
      </w:pPr>
      <w:hyperlink w:anchor="_Toc134182348" w:history="1">
        <w:r w:rsidR="00A8147C" w:rsidRPr="00E0267E">
          <w:rPr>
            <w:rStyle w:val="Hyperlink"/>
            <w:noProof/>
          </w:rPr>
          <w:t>Tax receipts estimates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_Toc134182348 \h </w:instrText>
        </w:r>
        <w:r w:rsidR="00A8147C" w:rsidRPr="00E0267E">
          <w:rPr>
            <w:noProof/>
            <w:webHidden/>
          </w:rPr>
        </w:r>
        <w:r w:rsidR="00A8147C" w:rsidRPr="00E0267E">
          <w:rPr>
            <w:noProof/>
            <w:webHidden/>
          </w:rPr>
          <w:fldChar w:fldCharType="separate"/>
        </w:r>
        <w:r w:rsidR="00C4781B">
          <w:rPr>
            <w:noProof/>
            <w:webHidden/>
          </w:rPr>
          <w:t>172</w:t>
        </w:r>
        <w:r w:rsidR="00A8147C" w:rsidRPr="00E0267E">
          <w:rPr>
            <w:noProof/>
            <w:webHidden/>
          </w:rPr>
          <w:fldChar w:fldCharType="end"/>
        </w:r>
      </w:hyperlink>
    </w:p>
    <w:p w14:paraId="3231AF42" w14:textId="3459B943" w:rsidR="00A8147C" w:rsidRPr="00E0267E" w:rsidRDefault="00F14BE1">
      <w:pPr>
        <w:pStyle w:val="TOC2"/>
        <w:rPr>
          <w:rFonts w:asciiTheme="minorHAnsi" w:eastAsiaTheme="minorEastAsia" w:hAnsiTheme="minorHAnsi" w:cstheme="minorBidi"/>
          <w:noProof/>
          <w:sz w:val="22"/>
          <w:szCs w:val="22"/>
        </w:rPr>
      </w:pPr>
      <w:hyperlink w:anchor="_Toc134182349" w:history="1">
        <w:r w:rsidR="00A8147C" w:rsidRPr="00E0267E">
          <w:rPr>
            <w:rStyle w:val="Hyperlink"/>
            <w:noProof/>
          </w:rPr>
          <w:t>Non–tax receipts estimates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_Toc134182349 \h </w:instrText>
        </w:r>
        <w:r w:rsidR="00A8147C" w:rsidRPr="00E0267E">
          <w:rPr>
            <w:noProof/>
            <w:webHidden/>
          </w:rPr>
        </w:r>
        <w:r w:rsidR="00A8147C" w:rsidRPr="00E0267E">
          <w:rPr>
            <w:noProof/>
            <w:webHidden/>
          </w:rPr>
          <w:fldChar w:fldCharType="separate"/>
        </w:r>
        <w:r w:rsidR="00C4781B">
          <w:rPr>
            <w:noProof/>
            <w:webHidden/>
          </w:rPr>
          <w:t>182</w:t>
        </w:r>
        <w:r w:rsidR="00A8147C" w:rsidRPr="00E0267E">
          <w:rPr>
            <w:noProof/>
            <w:webHidden/>
          </w:rPr>
          <w:fldChar w:fldCharType="end"/>
        </w:r>
      </w:hyperlink>
    </w:p>
    <w:p w14:paraId="371D5145" w14:textId="330AFC03" w:rsidR="00A8147C" w:rsidRPr="00E0267E" w:rsidRDefault="00F14BE1">
      <w:pPr>
        <w:pStyle w:val="TOC1"/>
        <w:rPr>
          <w:rFonts w:asciiTheme="minorHAnsi" w:eastAsiaTheme="minorEastAsia" w:hAnsiTheme="minorHAnsi" w:cstheme="minorBidi"/>
          <w:b w:val="0"/>
          <w:noProof/>
          <w:sz w:val="22"/>
          <w:szCs w:val="22"/>
        </w:rPr>
      </w:pPr>
      <w:hyperlink w:anchor="_Toc134182350" w:history="1">
        <w:r w:rsidR="00A8147C" w:rsidRPr="00E0267E">
          <w:rPr>
            <w:rStyle w:val="Hyperlink"/>
            <w:noProof/>
          </w:rPr>
          <w:t>Variations in revenue estimates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_Toc134182350 \h </w:instrText>
        </w:r>
        <w:r w:rsidR="00A8147C" w:rsidRPr="00E0267E">
          <w:rPr>
            <w:noProof/>
            <w:webHidden/>
          </w:rPr>
        </w:r>
        <w:r w:rsidR="00A8147C" w:rsidRPr="00E0267E">
          <w:rPr>
            <w:noProof/>
            <w:webHidden/>
          </w:rPr>
          <w:fldChar w:fldCharType="separate"/>
        </w:r>
        <w:r w:rsidR="00C4781B">
          <w:rPr>
            <w:noProof/>
            <w:webHidden/>
          </w:rPr>
          <w:t>186</w:t>
        </w:r>
        <w:r w:rsidR="00A8147C" w:rsidRPr="00E0267E">
          <w:rPr>
            <w:noProof/>
            <w:webHidden/>
          </w:rPr>
          <w:fldChar w:fldCharType="end"/>
        </w:r>
      </w:hyperlink>
    </w:p>
    <w:p w14:paraId="7AC389D2" w14:textId="186C9D01" w:rsidR="00A8147C" w:rsidRPr="00E0267E" w:rsidRDefault="00F14BE1">
      <w:pPr>
        <w:pStyle w:val="TOC1"/>
        <w:rPr>
          <w:noProof/>
        </w:rPr>
      </w:pPr>
      <w:hyperlink w:anchor="_Toc134182351" w:history="1">
        <w:r w:rsidR="00A8147C" w:rsidRPr="00E0267E">
          <w:rPr>
            <w:rStyle w:val="Hyperlink"/>
            <w:noProof/>
          </w:rPr>
          <w:t>Appendix A: Tax Expenditures</w:t>
        </w:r>
        <w:r w:rsidR="00A8147C" w:rsidRPr="00E0267E">
          <w:rPr>
            <w:noProof/>
            <w:webHidden/>
          </w:rPr>
          <w:tab/>
        </w:r>
        <w:r w:rsidR="00A8147C" w:rsidRPr="00E0267E">
          <w:rPr>
            <w:noProof/>
            <w:webHidden/>
          </w:rPr>
          <w:fldChar w:fldCharType="begin"/>
        </w:r>
        <w:r w:rsidR="00A8147C" w:rsidRPr="00E0267E">
          <w:rPr>
            <w:noProof/>
            <w:webHidden/>
          </w:rPr>
          <w:instrText xml:space="preserve"> PAGEREF _Toc134182351 \h </w:instrText>
        </w:r>
        <w:r w:rsidR="00A8147C" w:rsidRPr="00E0267E">
          <w:rPr>
            <w:noProof/>
            <w:webHidden/>
          </w:rPr>
        </w:r>
        <w:r w:rsidR="00A8147C" w:rsidRPr="00E0267E">
          <w:rPr>
            <w:noProof/>
            <w:webHidden/>
          </w:rPr>
          <w:fldChar w:fldCharType="separate"/>
        </w:r>
        <w:r w:rsidR="00C4781B">
          <w:rPr>
            <w:noProof/>
            <w:webHidden/>
          </w:rPr>
          <w:t>189</w:t>
        </w:r>
        <w:r w:rsidR="00A8147C" w:rsidRPr="00E0267E">
          <w:rPr>
            <w:noProof/>
            <w:webHidden/>
          </w:rPr>
          <w:fldChar w:fldCharType="end"/>
        </w:r>
      </w:hyperlink>
    </w:p>
    <w:p w14:paraId="3F541B0F" w14:textId="77777777" w:rsidR="003A694F" w:rsidRPr="00E0267E" w:rsidRDefault="003A694F" w:rsidP="003A694F">
      <w:pPr>
        <w:rPr>
          <w:noProof/>
        </w:rPr>
      </w:pPr>
    </w:p>
    <w:p w14:paraId="56C17203" w14:textId="1DB54E05" w:rsidR="006E2BE9" w:rsidRPr="00E0267E" w:rsidRDefault="006E2BE9">
      <w:pPr>
        <w:spacing w:before="0" w:after="160" w:line="259" w:lineRule="auto"/>
        <w:rPr>
          <w:rFonts w:eastAsiaTheme="minorEastAsia"/>
          <w:noProof/>
        </w:rPr>
      </w:pPr>
    </w:p>
    <w:p w14:paraId="04ADE44C" w14:textId="77777777" w:rsidR="00E73A6C" w:rsidRPr="00E0267E" w:rsidRDefault="00E73A6C" w:rsidP="00E73A6C">
      <w:pPr>
        <w:rPr>
          <w:rFonts w:eastAsiaTheme="minorEastAsia"/>
          <w:noProof/>
        </w:rPr>
        <w:sectPr w:rsidR="00E73A6C" w:rsidRPr="00E0267E" w:rsidSect="003A694F">
          <w:headerReference w:type="even" r:id="rId15"/>
          <w:headerReference w:type="default" r:id="rId16"/>
          <w:headerReference w:type="first" r:id="rId17"/>
          <w:pgSz w:w="11906" w:h="16838" w:code="9"/>
          <w:pgMar w:top="2835" w:right="2098" w:bottom="2466" w:left="2098" w:header="1814" w:footer="1814" w:gutter="0"/>
          <w:cols w:space="708"/>
          <w:titlePg/>
          <w:docGrid w:linePitch="360"/>
        </w:sectPr>
      </w:pPr>
    </w:p>
    <w:p w14:paraId="73CE6768" w14:textId="3040D42B" w:rsidR="00D907F8" w:rsidRPr="00E0267E" w:rsidRDefault="00433DC4" w:rsidP="004B08E6">
      <w:pPr>
        <w:pStyle w:val="Heading1"/>
      </w:pPr>
      <w:r w:rsidRPr="00E0267E">
        <w:rPr>
          <w:noProof/>
          <w:lang w:val="en-US"/>
        </w:rPr>
        <w:lastRenderedPageBreak/>
        <w:fldChar w:fldCharType="end"/>
      </w:r>
      <w:r w:rsidR="00D907F8" w:rsidRPr="00E0267E">
        <w:t>Statement 5: Revenue</w:t>
      </w:r>
    </w:p>
    <w:p w14:paraId="71B9B678" w14:textId="76EA5550" w:rsidR="00210664" w:rsidRPr="00E0267E" w:rsidRDefault="00210664" w:rsidP="00210664">
      <w:pPr>
        <w:pStyle w:val="Heading2"/>
      </w:pPr>
      <w:bookmarkStart w:id="0" w:name="_Toc134182344"/>
      <w:bookmarkStart w:id="1" w:name="_Toc512337932"/>
      <w:bookmarkStart w:id="2" w:name="_Toc52676197"/>
      <w:bookmarkStart w:id="3" w:name="_Toc99201818"/>
      <w:bookmarkStart w:id="4" w:name="_Toc117324545"/>
      <w:r w:rsidRPr="00E0267E">
        <w:t>Overview</w:t>
      </w:r>
      <w:bookmarkEnd w:id="0"/>
    </w:p>
    <w:bookmarkEnd w:id="1"/>
    <w:bookmarkEnd w:id="2"/>
    <w:bookmarkEnd w:id="3"/>
    <w:bookmarkEnd w:id="4"/>
    <w:p w14:paraId="0E9DCF81" w14:textId="43D0E160" w:rsidR="00F74788" w:rsidRPr="00966BD4" w:rsidRDefault="00D907F8" w:rsidP="00774E24">
      <w:r w:rsidRPr="00966BD4">
        <w:t xml:space="preserve">Since </w:t>
      </w:r>
      <w:r w:rsidR="00720AE5" w:rsidRPr="00966BD4">
        <w:t>the October Budget</w:t>
      </w:r>
      <w:r w:rsidRPr="00966BD4">
        <w:t>, tax receipts have been revised up by $</w:t>
      </w:r>
      <w:r w:rsidR="003F629B" w:rsidRPr="00966BD4">
        <w:t>42.0</w:t>
      </w:r>
      <w:r w:rsidR="008B4809" w:rsidRPr="00966BD4">
        <w:t xml:space="preserve"> </w:t>
      </w:r>
      <w:r w:rsidRPr="00966BD4">
        <w:t>billion in 202</w:t>
      </w:r>
      <w:r w:rsidR="00817FAF" w:rsidRPr="00966BD4">
        <w:t>3</w:t>
      </w:r>
      <w:r w:rsidR="00424184" w:rsidRPr="00966BD4">
        <w:t>–</w:t>
      </w:r>
      <w:r w:rsidR="00817FAF" w:rsidRPr="00966BD4">
        <w:t>24</w:t>
      </w:r>
      <w:r w:rsidRPr="00966BD4">
        <w:t xml:space="preserve"> and $</w:t>
      </w:r>
      <w:r w:rsidR="000C34DD" w:rsidRPr="00966BD4">
        <w:t>134.</w:t>
      </w:r>
      <w:r w:rsidR="00F80A27" w:rsidRPr="00966BD4">
        <w:t>8</w:t>
      </w:r>
      <w:r w:rsidR="008B4809" w:rsidRPr="00966BD4">
        <w:t xml:space="preserve"> </w:t>
      </w:r>
      <w:r w:rsidRPr="00966BD4">
        <w:t xml:space="preserve">billion over the </w:t>
      </w:r>
      <w:r w:rsidR="00E27574" w:rsidRPr="00966BD4">
        <w:t>5</w:t>
      </w:r>
      <w:r w:rsidRPr="00966BD4">
        <w:t xml:space="preserve"> years </w:t>
      </w:r>
      <w:r w:rsidR="00307179" w:rsidRPr="00966BD4">
        <w:t>from 2022</w:t>
      </w:r>
      <w:r w:rsidR="000F18C9" w:rsidRPr="00966BD4">
        <w:rPr>
          <w:rFonts w:ascii="Calibri" w:hAnsi="Calibri" w:cs="Calibri"/>
        </w:rPr>
        <w:t>–</w:t>
      </w:r>
      <w:r w:rsidR="00307179" w:rsidRPr="00966BD4">
        <w:t>23</w:t>
      </w:r>
      <w:r w:rsidRPr="00966BD4">
        <w:t xml:space="preserve"> to 202</w:t>
      </w:r>
      <w:r w:rsidR="00817FAF" w:rsidRPr="00966BD4">
        <w:t>6</w:t>
      </w:r>
      <w:r w:rsidR="00424184" w:rsidRPr="00966BD4">
        <w:t>–</w:t>
      </w:r>
      <w:r w:rsidR="00817FAF" w:rsidRPr="00966BD4">
        <w:t>27</w:t>
      </w:r>
      <w:r w:rsidRPr="00966BD4">
        <w:t xml:space="preserve">. </w:t>
      </w:r>
    </w:p>
    <w:p w14:paraId="60457660" w14:textId="7DDA8944" w:rsidR="00CB5F3A" w:rsidRPr="00E0267E" w:rsidRDefault="00CB5F3A" w:rsidP="00774E24">
      <w:r w:rsidRPr="00966BD4">
        <w:t>Excluding GST</w:t>
      </w:r>
      <w:r w:rsidR="00130E57" w:rsidRPr="00966BD4">
        <w:t xml:space="preserve"> and policy decisions</w:t>
      </w:r>
      <w:r w:rsidRPr="00966BD4">
        <w:t xml:space="preserve">, </w:t>
      </w:r>
      <w:r w:rsidR="00437F3E" w:rsidRPr="00966BD4">
        <w:t>tax receipts have been revised up by $</w:t>
      </w:r>
      <w:r w:rsidR="00705735" w:rsidRPr="00966BD4">
        <w:t>41.2</w:t>
      </w:r>
      <w:r w:rsidR="00437F3E" w:rsidRPr="00966BD4">
        <w:t xml:space="preserve"> billion in 2023</w:t>
      </w:r>
      <w:r w:rsidR="00E978E7" w:rsidRPr="00966BD4">
        <w:rPr>
          <w:rFonts w:ascii="Calibri" w:hAnsi="Calibri" w:cs="Calibri"/>
        </w:rPr>
        <w:t>–</w:t>
      </w:r>
      <w:r w:rsidR="00437F3E" w:rsidRPr="00966BD4">
        <w:t>24 and $</w:t>
      </w:r>
      <w:r w:rsidR="001E45FC" w:rsidRPr="00966BD4">
        <w:t>11</w:t>
      </w:r>
      <w:r w:rsidR="00C6222E" w:rsidRPr="00966BD4">
        <w:t>4</w:t>
      </w:r>
      <w:r w:rsidR="001E45FC" w:rsidRPr="00966BD4">
        <w:t>.</w:t>
      </w:r>
      <w:r w:rsidR="00FD40F9" w:rsidRPr="00966BD4">
        <w:t>2</w:t>
      </w:r>
      <w:r w:rsidR="00437F3E" w:rsidRPr="00966BD4">
        <w:t xml:space="preserve"> billion over the 5 years from 2022</w:t>
      </w:r>
      <w:r w:rsidR="00E978E7" w:rsidRPr="00966BD4">
        <w:rPr>
          <w:rFonts w:ascii="Calibri" w:hAnsi="Calibri" w:cs="Calibri"/>
        </w:rPr>
        <w:t>–</w:t>
      </w:r>
      <w:r w:rsidR="00437F3E" w:rsidRPr="00966BD4">
        <w:t>23 to 2026</w:t>
      </w:r>
      <w:r w:rsidR="00E978E7" w:rsidRPr="00966BD4">
        <w:rPr>
          <w:rFonts w:ascii="Calibri" w:hAnsi="Calibri" w:cs="Calibri"/>
        </w:rPr>
        <w:t>–</w:t>
      </w:r>
      <w:r w:rsidR="00437F3E" w:rsidRPr="00966BD4">
        <w:t xml:space="preserve">27. </w:t>
      </w:r>
      <w:r w:rsidR="00437F3E" w:rsidRPr="00E0267E">
        <w:t xml:space="preserve"> </w:t>
      </w:r>
      <w:r w:rsidR="00AB3917" w:rsidRPr="00966BD4">
        <w:t xml:space="preserve">The </w:t>
      </w:r>
      <w:r w:rsidR="003B7B0B" w:rsidRPr="00966BD4">
        <w:t>G</w:t>
      </w:r>
      <w:r w:rsidR="00AB3917" w:rsidRPr="00966BD4">
        <w:t xml:space="preserve">overnment is returning most of the improvement in tax receipts to the budget. </w:t>
      </w:r>
      <w:r w:rsidR="004B06EE" w:rsidRPr="00966BD4">
        <w:t xml:space="preserve">87 per cent of </w:t>
      </w:r>
      <w:r w:rsidR="006E7C2A" w:rsidRPr="00966BD4">
        <w:t xml:space="preserve">the tax upgrades in the past 2 </w:t>
      </w:r>
      <w:r w:rsidR="0023620B" w:rsidRPr="00966BD4">
        <w:t xml:space="preserve">Budgets are being returned </w:t>
      </w:r>
      <w:r w:rsidR="00043C6C" w:rsidRPr="00966BD4">
        <w:t>(82 per cent this Budget).</w:t>
      </w:r>
    </w:p>
    <w:p w14:paraId="6626081A" w14:textId="53AA11E0" w:rsidR="006009A7" w:rsidRPr="00966BD4" w:rsidRDefault="006009A7" w:rsidP="00774E24">
      <w:r w:rsidRPr="00966BD4">
        <w:t>In the near term, the upgrade to tax receipts primarily reflects higher company tax and personal income tax, underpinned by higher commodity prices</w:t>
      </w:r>
      <w:r w:rsidRPr="00966BD4" w:rsidDel="00A84CF3">
        <w:t xml:space="preserve">, </w:t>
      </w:r>
      <w:r w:rsidRPr="00966BD4">
        <w:t>a pick</w:t>
      </w:r>
      <w:r w:rsidR="001B77CF">
        <w:noBreakHyphen/>
      </w:r>
      <w:r w:rsidRPr="00966BD4">
        <w:t>up in wages growth</w:t>
      </w:r>
      <w:r w:rsidR="00144986" w:rsidRPr="00966BD4">
        <w:t xml:space="preserve">, </w:t>
      </w:r>
      <w:r w:rsidRPr="00966BD4">
        <w:t>strong employment growth</w:t>
      </w:r>
      <w:r w:rsidR="00144986" w:rsidRPr="00966BD4">
        <w:t xml:space="preserve"> and high participation</w:t>
      </w:r>
      <w:r w:rsidRPr="00966BD4">
        <w:t>. However,</w:t>
      </w:r>
      <w:r w:rsidRPr="00966BD4" w:rsidDel="00F1685D">
        <w:t xml:space="preserve"> </w:t>
      </w:r>
      <w:r w:rsidRPr="00966BD4">
        <w:t>the strong near</w:t>
      </w:r>
      <w:r w:rsidR="001B77CF">
        <w:noBreakHyphen/>
      </w:r>
      <w:r w:rsidRPr="00966BD4">
        <w:t>term upgrade to tax receipts is expected to moderate after 2023</w:t>
      </w:r>
      <w:r w:rsidR="00E978E7" w:rsidRPr="00966BD4">
        <w:rPr>
          <w:rFonts w:ascii="Calibri" w:hAnsi="Calibri" w:cs="Calibri"/>
        </w:rPr>
        <w:t>–</w:t>
      </w:r>
      <w:r w:rsidRPr="00966BD4">
        <w:t xml:space="preserve">24 as commodity prices </w:t>
      </w:r>
      <w:proofErr w:type="gramStart"/>
      <w:r w:rsidRPr="00966BD4">
        <w:t>are</w:t>
      </w:r>
      <w:proofErr w:type="gramEnd"/>
      <w:r w:rsidRPr="00966BD4">
        <w:t xml:space="preserve"> assumed to return to conservative long</w:t>
      </w:r>
      <w:r w:rsidR="001B77CF">
        <w:noBreakHyphen/>
      </w:r>
      <w:r w:rsidRPr="00966BD4">
        <w:t>run levels</w:t>
      </w:r>
      <w:r w:rsidRPr="00966BD4" w:rsidDel="007F5F6F">
        <w:t xml:space="preserve"> and </w:t>
      </w:r>
      <w:r w:rsidRPr="00966BD4">
        <w:t>conditions in the labour market ease.</w:t>
      </w:r>
    </w:p>
    <w:p w14:paraId="446FE1EE" w14:textId="5B1C8203" w:rsidR="000F30FC" w:rsidRPr="00966BD4" w:rsidRDefault="00BE7B72" w:rsidP="00774E24">
      <w:r w:rsidRPr="00966BD4">
        <w:t>In addition to the strong growth in personal tax receipts, t</w:t>
      </w:r>
      <w:r w:rsidR="0006050B" w:rsidRPr="00966BD4">
        <w:t>he</w:t>
      </w:r>
      <w:r w:rsidR="00474D03" w:rsidRPr="00966BD4">
        <w:t xml:space="preserve"> </w:t>
      </w:r>
      <w:r w:rsidR="008525AA" w:rsidRPr="00966BD4">
        <w:t xml:space="preserve">recovery in company tax receipts </w:t>
      </w:r>
      <w:r w:rsidR="004F22C9" w:rsidRPr="00966BD4">
        <w:t xml:space="preserve">has </w:t>
      </w:r>
      <w:r w:rsidR="005F213D" w:rsidRPr="00966BD4">
        <w:t>more</w:t>
      </w:r>
      <w:r w:rsidR="005F213D" w:rsidRPr="00966BD4" w:rsidDel="002C443C">
        <w:t xml:space="preserve"> </w:t>
      </w:r>
      <w:r w:rsidR="00F767F4" w:rsidRPr="00966BD4">
        <w:t xml:space="preserve">closely </w:t>
      </w:r>
      <w:r w:rsidR="00FB37A6" w:rsidRPr="00966BD4">
        <w:t xml:space="preserve">followed </w:t>
      </w:r>
      <w:r w:rsidR="00932794" w:rsidRPr="00966BD4">
        <w:t xml:space="preserve">the </w:t>
      </w:r>
      <w:r w:rsidR="002C443C" w:rsidRPr="00966BD4">
        <w:t>economy overall</w:t>
      </w:r>
      <w:r w:rsidR="00995575" w:rsidRPr="00966BD4">
        <w:t xml:space="preserve">, rather than with </w:t>
      </w:r>
      <w:r w:rsidR="00BA353E" w:rsidRPr="00966BD4">
        <w:t>the</w:t>
      </w:r>
      <w:r w:rsidR="00995575" w:rsidRPr="00966BD4">
        <w:t xml:space="preserve"> substantial lag</w:t>
      </w:r>
      <w:r w:rsidR="002C443C" w:rsidRPr="00966BD4">
        <w:t xml:space="preserve"> observed following previous downturns</w:t>
      </w:r>
      <w:r w:rsidR="00995575" w:rsidRPr="00966BD4">
        <w:t>.</w:t>
      </w:r>
      <w:r w:rsidR="00932794" w:rsidRPr="00966BD4">
        <w:t xml:space="preserve"> This is particularly the case for </w:t>
      </w:r>
      <w:r w:rsidR="0058601B" w:rsidRPr="00966BD4">
        <w:t xml:space="preserve">the </w:t>
      </w:r>
      <w:r w:rsidR="009D3BCA" w:rsidRPr="00966BD4">
        <w:t>resources</w:t>
      </w:r>
      <w:r w:rsidR="00E8614C" w:rsidRPr="00966BD4">
        <w:t xml:space="preserve"> sector </w:t>
      </w:r>
      <w:r w:rsidR="00384AB2" w:rsidRPr="00966BD4">
        <w:t xml:space="preserve">where </w:t>
      </w:r>
      <w:r w:rsidR="004D0552" w:rsidRPr="00966BD4">
        <w:t>sustained</w:t>
      </w:r>
      <w:r w:rsidR="00A818AF" w:rsidRPr="00966BD4">
        <w:t xml:space="preserve"> </w:t>
      </w:r>
      <w:r w:rsidR="000C4557" w:rsidRPr="00966BD4">
        <w:t xml:space="preserve">and </w:t>
      </w:r>
      <w:r w:rsidR="00A818AF" w:rsidRPr="00966BD4">
        <w:t>elevated commodity prices</w:t>
      </w:r>
      <w:r w:rsidR="003C03EE" w:rsidRPr="00966BD4">
        <w:t xml:space="preserve"> have </w:t>
      </w:r>
      <w:r w:rsidR="00E022F6" w:rsidRPr="00966BD4">
        <w:t xml:space="preserve">exhausted </w:t>
      </w:r>
      <w:r w:rsidR="00384AB2" w:rsidRPr="00966BD4">
        <w:t xml:space="preserve">previous </w:t>
      </w:r>
      <w:r w:rsidR="00E022F6" w:rsidRPr="00966BD4">
        <w:t>losses</w:t>
      </w:r>
      <w:r w:rsidR="001360CF" w:rsidRPr="00966BD4">
        <w:t xml:space="preserve"> and accumulated deductions</w:t>
      </w:r>
      <w:r w:rsidR="009F58B1" w:rsidRPr="00966BD4">
        <w:t>.</w:t>
      </w:r>
      <w:r w:rsidR="00AF1C41" w:rsidRPr="00966BD4" w:rsidDel="00995575">
        <w:t xml:space="preserve"> </w:t>
      </w:r>
    </w:p>
    <w:p w14:paraId="4EA78173" w14:textId="14E2278F" w:rsidR="00D907F8" w:rsidRPr="00966BD4" w:rsidRDefault="00D907F8" w:rsidP="00774E24">
      <w:r w:rsidRPr="00966BD4">
        <w:t>Risks to the outlook for nominal GDP and tax receipts remain</w:t>
      </w:r>
      <w:r w:rsidR="00890DF5" w:rsidRPr="00966BD4">
        <w:t xml:space="preserve"> </w:t>
      </w:r>
      <w:r w:rsidR="00116A0E" w:rsidRPr="00966BD4">
        <w:t>significant</w:t>
      </w:r>
      <w:r w:rsidR="00BE40A1" w:rsidRPr="00966BD4">
        <w:t>.</w:t>
      </w:r>
      <w:r w:rsidRPr="00966BD4">
        <w:t xml:space="preserve"> </w:t>
      </w:r>
      <w:r w:rsidR="00002852" w:rsidRPr="00966BD4">
        <w:t>The global outlook remains uncertain and any further deterioration in global conditions could impact commodity prices and consumer and business confidence. Uncertainty remains around how household consumption will continue to react to the rise in interest rates and cost</w:t>
      </w:r>
      <w:r w:rsidR="0001553E" w:rsidRPr="00966BD4">
        <w:t xml:space="preserve"> </w:t>
      </w:r>
      <w:r w:rsidR="00002852" w:rsidRPr="00966BD4">
        <w:t>of</w:t>
      </w:r>
      <w:r w:rsidR="0001553E" w:rsidRPr="00966BD4">
        <w:t xml:space="preserve"> </w:t>
      </w:r>
      <w:r w:rsidR="00002852" w:rsidRPr="00966BD4">
        <w:t xml:space="preserve">living pressures. </w:t>
      </w:r>
    </w:p>
    <w:p w14:paraId="0B1DEE93" w14:textId="68425454" w:rsidR="00D907F8" w:rsidRPr="00966BD4" w:rsidRDefault="00D907F8" w:rsidP="00774E24">
      <w:r w:rsidRPr="00966BD4">
        <w:t xml:space="preserve">Policy decisions since </w:t>
      </w:r>
      <w:r w:rsidR="004A29FF" w:rsidRPr="00966BD4">
        <w:t xml:space="preserve">the October Budget </w:t>
      </w:r>
      <w:r w:rsidRPr="00966BD4">
        <w:t>are expected to increase tax receipts by $</w:t>
      </w:r>
      <w:r w:rsidR="00B25D60" w:rsidRPr="00966BD4">
        <w:t>1.3</w:t>
      </w:r>
      <w:r w:rsidR="00ED10CB" w:rsidRPr="00966BD4">
        <w:t> </w:t>
      </w:r>
      <w:r w:rsidR="00B25D60" w:rsidRPr="00966BD4">
        <w:t>billion</w:t>
      </w:r>
      <w:r w:rsidRPr="00966BD4">
        <w:t xml:space="preserve"> in 20</w:t>
      </w:r>
      <w:r w:rsidR="004A29FF" w:rsidRPr="00966BD4">
        <w:t>23</w:t>
      </w:r>
      <w:r w:rsidR="00424184" w:rsidRPr="00966BD4">
        <w:t>–</w:t>
      </w:r>
      <w:r w:rsidR="004A29FF" w:rsidRPr="00966BD4">
        <w:t>24</w:t>
      </w:r>
      <w:r w:rsidRPr="00966BD4">
        <w:t xml:space="preserve"> and $</w:t>
      </w:r>
      <w:r w:rsidR="00FA15AD" w:rsidRPr="00966BD4">
        <w:t>19.</w:t>
      </w:r>
      <w:r w:rsidR="002E5BC9" w:rsidRPr="00966BD4">
        <w:t>1</w:t>
      </w:r>
      <w:r w:rsidR="00FE0CD7" w:rsidRPr="00966BD4">
        <w:t> </w:t>
      </w:r>
      <w:r w:rsidRPr="00966BD4">
        <w:t xml:space="preserve">billion over the </w:t>
      </w:r>
      <w:r w:rsidR="0024272E" w:rsidRPr="00966BD4">
        <w:t>5</w:t>
      </w:r>
      <w:r w:rsidRPr="00966BD4">
        <w:t xml:space="preserve"> years </w:t>
      </w:r>
      <w:r w:rsidR="0065789C" w:rsidRPr="00966BD4">
        <w:t>from 2022</w:t>
      </w:r>
      <w:r w:rsidR="00E978E7" w:rsidRPr="00966BD4">
        <w:rPr>
          <w:rFonts w:ascii="Calibri" w:hAnsi="Calibri" w:cs="Calibri"/>
        </w:rPr>
        <w:t>–</w:t>
      </w:r>
      <w:r w:rsidR="0065789C" w:rsidRPr="00966BD4">
        <w:t xml:space="preserve">23 </w:t>
      </w:r>
      <w:r w:rsidRPr="00966BD4">
        <w:t>to 202</w:t>
      </w:r>
      <w:r w:rsidR="004A29FF" w:rsidRPr="00966BD4">
        <w:t>6</w:t>
      </w:r>
      <w:r w:rsidR="00E978E7" w:rsidRPr="00966BD4">
        <w:rPr>
          <w:rFonts w:ascii="Calibri" w:hAnsi="Calibri" w:cs="Calibri"/>
        </w:rPr>
        <w:t>–</w:t>
      </w:r>
      <w:r w:rsidR="004A29FF" w:rsidRPr="00966BD4">
        <w:t>27</w:t>
      </w:r>
      <w:r w:rsidRPr="00966BD4">
        <w:t xml:space="preserve">. </w:t>
      </w:r>
      <w:r w:rsidR="00664AED">
        <w:br/>
      </w:r>
      <w:r w:rsidRPr="00966BD4">
        <w:t xml:space="preserve">For more details on policy decisions, see Budget Statement 1 and Budget Paper No. 2. </w:t>
      </w:r>
    </w:p>
    <w:p w14:paraId="522B695F" w14:textId="25089464" w:rsidR="00825B1C" w:rsidRPr="0029620A" w:rsidRDefault="00825B1C" w:rsidP="0029620A">
      <w:r w:rsidRPr="00E0267E">
        <w:br w:type="page"/>
      </w:r>
    </w:p>
    <w:p w14:paraId="39D8B836" w14:textId="4D634557" w:rsidR="00C55AFA" w:rsidRPr="00966BD4" w:rsidRDefault="00D907F8" w:rsidP="00C55AFA">
      <w:pPr>
        <w:pStyle w:val="TableHeading"/>
        <w:rPr>
          <w:rFonts w:asciiTheme="minorHAnsi" w:eastAsiaTheme="minorHAnsi" w:hAnsiTheme="minorHAnsi" w:cstheme="minorBidi"/>
          <w:sz w:val="22"/>
          <w:szCs w:val="22"/>
          <w:lang w:eastAsia="en-US"/>
        </w:rPr>
      </w:pPr>
      <w:r w:rsidRPr="00966BD4">
        <w:lastRenderedPageBreak/>
        <w:t>Table 5.1: Australian Government general government receipts</w:t>
      </w:r>
    </w:p>
    <w:tbl>
      <w:tblPr>
        <w:tblW w:w="5000" w:type="pct"/>
        <w:tblCellMar>
          <w:left w:w="0" w:type="dxa"/>
          <w:right w:w="28" w:type="dxa"/>
        </w:tblCellMar>
        <w:tblLook w:val="04A0" w:firstRow="1" w:lastRow="0" w:firstColumn="1" w:lastColumn="0" w:noHBand="0" w:noVBand="1"/>
      </w:tblPr>
      <w:tblGrid>
        <w:gridCol w:w="2968"/>
        <w:gridCol w:w="774"/>
        <w:gridCol w:w="94"/>
        <w:gridCol w:w="760"/>
        <w:gridCol w:w="831"/>
        <w:gridCol w:w="760"/>
        <w:gridCol w:w="760"/>
        <w:gridCol w:w="763"/>
      </w:tblGrid>
      <w:tr w:rsidR="00C55AFA" w:rsidRPr="00966BD4" w14:paraId="0F8FD8B2" w14:textId="77777777" w:rsidTr="00C55AFA">
        <w:trPr>
          <w:divId w:val="1127702492"/>
          <w:trHeight w:hRule="exact" w:val="226"/>
        </w:trPr>
        <w:tc>
          <w:tcPr>
            <w:tcW w:w="1924" w:type="pct"/>
            <w:tcBorders>
              <w:top w:val="single" w:sz="4" w:space="0" w:color="000000"/>
              <w:left w:val="nil"/>
              <w:bottom w:val="nil"/>
              <w:right w:val="nil"/>
            </w:tcBorders>
            <w:shd w:val="clear" w:color="000000" w:fill="FFFFFF"/>
            <w:noWrap/>
            <w:vAlign w:val="center"/>
            <w:hideMark/>
          </w:tcPr>
          <w:p w14:paraId="17F5CFD5" w14:textId="230CB71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single" w:sz="4" w:space="0" w:color="000000"/>
              <w:left w:val="nil"/>
              <w:bottom w:val="single" w:sz="4" w:space="0" w:color="000000"/>
              <w:right w:val="nil"/>
            </w:tcBorders>
            <w:shd w:val="clear" w:color="000000" w:fill="FFFFFF"/>
            <w:noWrap/>
            <w:vAlign w:val="center"/>
            <w:hideMark/>
          </w:tcPr>
          <w:p w14:paraId="4C32E7F5" w14:textId="77777777" w:rsidR="00C55AFA" w:rsidRPr="00966BD4" w:rsidRDefault="00C55AFA" w:rsidP="00C55AFA">
            <w:pPr>
              <w:spacing w:before="0" w:after="0" w:line="240" w:lineRule="auto"/>
              <w:jc w:val="center"/>
              <w:rPr>
                <w:rFonts w:ascii="Arial" w:hAnsi="Arial" w:cs="Arial"/>
                <w:sz w:val="16"/>
                <w:szCs w:val="16"/>
              </w:rPr>
            </w:pPr>
            <w:r w:rsidRPr="00966BD4">
              <w:rPr>
                <w:rFonts w:ascii="Arial" w:hAnsi="Arial" w:cs="Arial"/>
                <w:sz w:val="16"/>
                <w:szCs w:val="16"/>
              </w:rPr>
              <w:t>Actual </w:t>
            </w:r>
          </w:p>
        </w:tc>
        <w:tc>
          <w:tcPr>
            <w:tcW w:w="61" w:type="pct"/>
            <w:tcBorders>
              <w:top w:val="single" w:sz="4" w:space="0" w:color="000000"/>
              <w:left w:val="nil"/>
              <w:bottom w:val="nil"/>
              <w:right w:val="nil"/>
            </w:tcBorders>
            <w:shd w:val="clear" w:color="000000" w:fill="FFFFFF"/>
            <w:noWrap/>
            <w:vAlign w:val="center"/>
            <w:hideMark/>
          </w:tcPr>
          <w:p w14:paraId="57F98A1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2513" w:type="pct"/>
            <w:gridSpan w:val="5"/>
            <w:tcBorders>
              <w:top w:val="single" w:sz="4" w:space="0" w:color="auto"/>
              <w:left w:val="nil"/>
              <w:bottom w:val="single" w:sz="4" w:space="0" w:color="auto"/>
              <w:right w:val="nil"/>
            </w:tcBorders>
            <w:shd w:val="clear" w:color="000000" w:fill="FFFFFF"/>
            <w:noWrap/>
            <w:vAlign w:val="center"/>
            <w:hideMark/>
          </w:tcPr>
          <w:p w14:paraId="1B330692" w14:textId="77777777" w:rsidR="00C55AFA" w:rsidRPr="00966BD4" w:rsidRDefault="00C55AFA" w:rsidP="00C55AFA">
            <w:pPr>
              <w:spacing w:before="0" w:after="0" w:line="240" w:lineRule="auto"/>
              <w:jc w:val="center"/>
              <w:rPr>
                <w:rFonts w:ascii="Arial" w:hAnsi="Arial" w:cs="Arial"/>
                <w:sz w:val="16"/>
                <w:szCs w:val="16"/>
              </w:rPr>
            </w:pPr>
            <w:r w:rsidRPr="00966BD4">
              <w:rPr>
                <w:rFonts w:ascii="Arial" w:hAnsi="Arial" w:cs="Arial"/>
                <w:sz w:val="16"/>
                <w:szCs w:val="16"/>
              </w:rPr>
              <w:t>Estimates</w:t>
            </w:r>
          </w:p>
        </w:tc>
      </w:tr>
      <w:tr w:rsidR="00C55AFA" w:rsidRPr="00966BD4" w14:paraId="3B9F1BDA"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1C78ED59"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single" w:sz="4" w:space="0" w:color="293F5B"/>
              <w:left w:val="nil"/>
              <w:bottom w:val="nil"/>
              <w:right w:val="nil"/>
            </w:tcBorders>
            <w:shd w:val="clear" w:color="auto" w:fill="auto"/>
            <w:vAlign w:val="center"/>
            <w:hideMark/>
          </w:tcPr>
          <w:p w14:paraId="66362A2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2021–22</w:t>
            </w:r>
          </w:p>
        </w:tc>
        <w:tc>
          <w:tcPr>
            <w:tcW w:w="61" w:type="pct"/>
            <w:tcBorders>
              <w:top w:val="nil"/>
              <w:left w:val="nil"/>
              <w:bottom w:val="nil"/>
              <w:right w:val="nil"/>
            </w:tcBorders>
            <w:shd w:val="clear" w:color="000000" w:fill="FFFFFF"/>
            <w:noWrap/>
            <w:vAlign w:val="center"/>
            <w:hideMark/>
          </w:tcPr>
          <w:p w14:paraId="46FBE43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single" w:sz="4" w:space="0" w:color="293F5B"/>
              <w:left w:val="nil"/>
              <w:bottom w:val="nil"/>
              <w:right w:val="nil"/>
            </w:tcBorders>
            <w:shd w:val="clear" w:color="auto" w:fill="auto"/>
            <w:vAlign w:val="center"/>
            <w:hideMark/>
          </w:tcPr>
          <w:p w14:paraId="486E3DB0"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2022–23</w:t>
            </w:r>
          </w:p>
        </w:tc>
        <w:tc>
          <w:tcPr>
            <w:tcW w:w="539" w:type="pct"/>
            <w:tcBorders>
              <w:top w:val="single" w:sz="4" w:space="0" w:color="293F5B"/>
              <w:left w:val="nil"/>
              <w:bottom w:val="nil"/>
              <w:right w:val="nil"/>
            </w:tcBorders>
            <w:shd w:val="clear" w:color="000000" w:fill="E6F2FF"/>
            <w:noWrap/>
            <w:vAlign w:val="center"/>
            <w:hideMark/>
          </w:tcPr>
          <w:p w14:paraId="4841558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2023–24</w:t>
            </w:r>
          </w:p>
        </w:tc>
        <w:tc>
          <w:tcPr>
            <w:tcW w:w="493" w:type="pct"/>
            <w:tcBorders>
              <w:top w:val="single" w:sz="4" w:space="0" w:color="293F5B"/>
              <w:left w:val="nil"/>
              <w:bottom w:val="nil"/>
              <w:right w:val="nil"/>
            </w:tcBorders>
            <w:shd w:val="clear" w:color="auto" w:fill="auto"/>
            <w:vAlign w:val="center"/>
            <w:hideMark/>
          </w:tcPr>
          <w:p w14:paraId="0D7A74D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2024–25</w:t>
            </w:r>
          </w:p>
        </w:tc>
        <w:tc>
          <w:tcPr>
            <w:tcW w:w="493" w:type="pct"/>
            <w:tcBorders>
              <w:top w:val="single" w:sz="4" w:space="0" w:color="293F5B"/>
              <w:left w:val="nil"/>
              <w:bottom w:val="nil"/>
              <w:right w:val="nil"/>
            </w:tcBorders>
            <w:shd w:val="clear" w:color="auto" w:fill="auto"/>
            <w:vAlign w:val="center"/>
            <w:hideMark/>
          </w:tcPr>
          <w:p w14:paraId="2DE1CF7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2025–26</w:t>
            </w:r>
          </w:p>
        </w:tc>
        <w:tc>
          <w:tcPr>
            <w:tcW w:w="493" w:type="pct"/>
            <w:tcBorders>
              <w:top w:val="single" w:sz="4" w:space="0" w:color="293F5B"/>
              <w:left w:val="nil"/>
              <w:bottom w:val="nil"/>
              <w:right w:val="nil"/>
            </w:tcBorders>
            <w:shd w:val="clear" w:color="auto" w:fill="auto"/>
            <w:vAlign w:val="center"/>
            <w:hideMark/>
          </w:tcPr>
          <w:p w14:paraId="4AE12D9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2026–27</w:t>
            </w:r>
          </w:p>
        </w:tc>
      </w:tr>
      <w:tr w:rsidR="00C55AFA" w:rsidRPr="00966BD4" w14:paraId="7C55908F"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61FC48CB"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nil"/>
              <w:left w:val="nil"/>
              <w:bottom w:val="single" w:sz="4" w:space="0" w:color="000000"/>
              <w:right w:val="nil"/>
            </w:tcBorders>
            <w:shd w:val="clear" w:color="000000" w:fill="FFFFFF"/>
            <w:noWrap/>
            <w:vAlign w:val="center"/>
            <w:hideMark/>
          </w:tcPr>
          <w:p w14:paraId="26818258"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c>
          <w:tcPr>
            <w:tcW w:w="61" w:type="pct"/>
            <w:tcBorders>
              <w:top w:val="nil"/>
              <w:left w:val="nil"/>
              <w:bottom w:val="nil"/>
              <w:right w:val="nil"/>
            </w:tcBorders>
            <w:shd w:val="clear" w:color="000000" w:fill="FFFFFF"/>
            <w:noWrap/>
            <w:vAlign w:val="center"/>
            <w:hideMark/>
          </w:tcPr>
          <w:p w14:paraId="5172215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single" w:sz="4" w:space="0" w:color="000000"/>
              <w:right w:val="nil"/>
            </w:tcBorders>
            <w:shd w:val="clear" w:color="000000" w:fill="FFFFFF"/>
            <w:noWrap/>
            <w:vAlign w:val="center"/>
            <w:hideMark/>
          </w:tcPr>
          <w:p w14:paraId="2275E95D"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c>
          <w:tcPr>
            <w:tcW w:w="539" w:type="pct"/>
            <w:tcBorders>
              <w:top w:val="nil"/>
              <w:left w:val="nil"/>
              <w:bottom w:val="single" w:sz="4" w:space="0" w:color="000000"/>
              <w:right w:val="nil"/>
            </w:tcBorders>
            <w:shd w:val="clear" w:color="000000" w:fill="E6F2FF"/>
            <w:noWrap/>
            <w:vAlign w:val="center"/>
            <w:hideMark/>
          </w:tcPr>
          <w:p w14:paraId="208657B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c>
          <w:tcPr>
            <w:tcW w:w="493" w:type="pct"/>
            <w:tcBorders>
              <w:top w:val="nil"/>
              <w:left w:val="nil"/>
              <w:bottom w:val="single" w:sz="4" w:space="0" w:color="000000"/>
              <w:right w:val="nil"/>
            </w:tcBorders>
            <w:shd w:val="clear" w:color="000000" w:fill="FFFFFF"/>
            <w:noWrap/>
            <w:vAlign w:val="center"/>
            <w:hideMark/>
          </w:tcPr>
          <w:p w14:paraId="5CDF295E"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c>
          <w:tcPr>
            <w:tcW w:w="493" w:type="pct"/>
            <w:tcBorders>
              <w:top w:val="nil"/>
              <w:left w:val="nil"/>
              <w:bottom w:val="single" w:sz="4" w:space="0" w:color="auto"/>
              <w:right w:val="nil"/>
            </w:tcBorders>
            <w:shd w:val="clear" w:color="000000" w:fill="FFFFFF"/>
            <w:noWrap/>
            <w:vAlign w:val="center"/>
            <w:hideMark/>
          </w:tcPr>
          <w:p w14:paraId="7842F5F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c>
          <w:tcPr>
            <w:tcW w:w="493" w:type="pct"/>
            <w:tcBorders>
              <w:top w:val="nil"/>
              <w:left w:val="nil"/>
              <w:bottom w:val="single" w:sz="4" w:space="0" w:color="auto"/>
              <w:right w:val="nil"/>
            </w:tcBorders>
            <w:shd w:val="clear" w:color="000000" w:fill="FFFFFF"/>
            <w:noWrap/>
            <w:vAlign w:val="center"/>
            <w:hideMark/>
          </w:tcPr>
          <w:p w14:paraId="3BE286AE"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$b </w:t>
            </w:r>
          </w:p>
        </w:tc>
      </w:tr>
      <w:tr w:rsidR="00C55AFA" w:rsidRPr="00966BD4" w14:paraId="089659AC"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7997A57F" w14:textId="77777777" w:rsidR="00C55AFA" w:rsidRPr="00966BD4" w:rsidRDefault="00C55AFA" w:rsidP="00C55AFA">
            <w:pPr>
              <w:spacing w:before="0" w:after="0" w:line="240" w:lineRule="auto"/>
              <w:rPr>
                <w:rFonts w:ascii="Arial" w:hAnsi="Arial" w:cs="Arial"/>
                <w:b/>
                <w:sz w:val="16"/>
                <w:szCs w:val="16"/>
              </w:rPr>
            </w:pPr>
            <w:r w:rsidRPr="00966BD4">
              <w:rPr>
                <w:rFonts w:ascii="Arial" w:hAnsi="Arial" w:cs="Arial"/>
                <w:b/>
                <w:sz w:val="16"/>
                <w:szCs w:val="16"/>
              </w:rPr>
              <w:t>Total taxation receipts ($b)</w:t>
            </w: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bottom"/>
            <w:hideMark/>
          </w:tcPr>
          <w:p w14:paraId="49B4FA8A"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536.6</w:t>
            </w:r>
          </w:p>
        </w:tc>
        <w:tc>
          <w:tcPr>
            <w:tcW w:w="61" w:type="pct"/>
            <w:tcBorders>
              <w:top w:val="nil"/>
              <w:left w:val="nil"/>
              <w:bottom w:val="nil"/>
              <w:right w:val="nil"/>
            </w:tcBorders>
            <w:shd w:val="clear" w:color="000000" w:fill="FFFFFF"/>
            <w:noWrap/>
            <w:vAlign w:val="center"/>
            <w:hideMark/>
          </w:tcPr>
          <w:p w14:paraId="3EFC4E4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70540B4D"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588.1</w:t>
            </w:r>
          </w:p>
        </w:tc>
        <w:tc>
          <w:tcPr>
            <w:tcW w:w="539" w:type="pct"/>
            <w:tcBorders>
              <w:top w:val="nil"/>
              <w:left w:val="nil"/>
              <w:bottom w:val="nil"/>
              <w:right w:val="nil"/>
            </w:tcBorders>
            <w:shd w:val="clear" w:color="000000" w:fill="E6F2FF"/>
            <w:noWrap/>
            <w:vAlign w:val="bottom"/>
            <w:hideMark/>
          </w:tcPr>
          <w:p w14:paraId="63427F6F"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616.3</w:t>
            </w:r>
          </w:p>
        </w:tc>
        <w:tc>
          <w:tcPr>
            <w:tcW w:w="493" w:type="pct"/>
            <w:tcBorders>
              <w:top w:val="nil"/>
              <w:left w:val="nil"/>
              <w:bottom w:val="nil"/>
              <w:right w:val="nil"/>
            </w:tcBorders>
            <w:shd w:val="clear" w:color="000000" w:fill="FFFFFF"/>
            <w:noWrap/>
            <w:vAlign w:val="bottom"/>
            <w:hideMark/>
          </w:tcPr>
          <w:p w14:paraId="091FA5E9"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614.3</w:t>
            </w:r>
          </w:p>
        </w:tc>
        <w:tc>
          <w:tcPr>
            <w:tcW w:w="493" w:type="pct"/>
            <w:tcBorders>
              <w:top w:val="nil"/>
              <w:left w:val="nil"/>
              <w:bottom w:val="nil"/>
              <w:right w:val="nil"/>
            </w:tcBorders>
            <w:shd w:val="clear" w:color="000000" w:fill="FFFFFF"/>
            <w:noWrap/>
            <w:vAlign w:val="bottom"/>
            <w:hideMark/>
          </w:tcPr>
          <w:p w14:paraId="1E2C944B"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647.8</w:t>
            </w:r>
          </w:p>
        </w:tc>
        <w:tc>
          <w:tcPr>
            <w:tcW w:w="493" w:type="pct"/>
            <w:tcBorders>
              <w:top w:val="nil"/>
              <w:left w:val="nil"/>
              <w:bottom w:val="nil"/>
              <w:right w:val="nil"/>
            </w:tcBorders>
            <w:shd w:val="clear" w:color="000000" w:fill="FFFFFF"/>
            <w:noWrap/>
            <w:vAlign w:val="bottom"/>
            <w:hideMark/>
          </w:tcPr>
          <w:p w14:paraId="2F41C103"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680.7</w:t>
            </w:r>
          </w:p>
        </w:tc>
      </w:tr>
      <w:tr w:rsidR="00C55AFA" w:rsidRPr="00966BD4" w14:paraId="46DF0ADF"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0AFADD33"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Growth on previous year (%) </w:t>
            </w:r>
          </w:p>
        </w:tc>
        <w:tc>
          <w:tcPr>
            <w:tcW w:w="502" w:type="pct"/>
            <w:tcBorders>
              <w:top w:val="nil"/>
              <w:left w:val="nil"/>
              <w:bottom w:val="nil"/>
              <w:right w:val="nil"/>
            </w:tcBorders>
            <w:shd w:val="clear" w:color="000000" w:fill="FFFFFF"/>
            <w:noWrap/>
            <w:vAlign w:val="bottom"/>
            <w:hideMark/>
          </w:tcPr>
          <w:p w14:paraId="5504AC7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13.2</w:t>
            </w:r>
          </w:p>
        </w:tc>
        <w:tc>
          <w:tcPr>
            <w:tcW w:w="61" w:type="pct"/>
            <w:tcBorders>
              <w:top w:val="nil"/>
              <w:left w:val="nil"/>
              <w:bottom w:val="nil"/>
              <w:right w:val="nil"/>
            </w:tcBorders>
            <w:shd w:val="clear" w:color="000000" w:fill="FFFFFF"/>
            <w:noWrap/>
            <w:vAlign w:val="center"/>
            <w:hideMark/>
          </w:tcPr>
          <w:p w14:paraId="2F594140"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0E28FCE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9.6</w:t>
            </w:r>
          </w:p>
        </w:tc>
        <w:tc>
          <w:tcPr>
            <w:tcW w:w="539" w:type="pct"/>
            <w:tcBorders>
              <w:top w:val="nil"/>
              <w:left w:val="nil"/>
              <w:bottom w:val="nil"/>
              <w:right w:val="nil"/>
            </w:tcBorders>
            <w:shd w:val="clear" w:color="000000" w:fill="E6F2FF"/>
            <w:noWrap/>
            <w:vAlign w:val="bottom"/>
            <w:hideMark/>
          </w:tcPr>
          <w:p w14:paraId="557C17A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4.8</w:t>
            </w:r>
          </w:p>
        </w:tc>
        <w:tc>
          <w:tcPr>
            <w:tcW w:w="493" w:type="pct"/>
            <w:tcBorders>
              <w:top w:val="nil"/>
              <w:left w:val="nil"/>
              <w:bottom w:val="nil"/>
              <w:right w:val="nil"/>
            </w:tcBorders>
            <w:shd w:val="clear" w:color="000000" w:fill="FFFFFF"/>
            <w:noWrap/>
            <w:vAlign w:val="bottom"/>
            <w:hideMark/>
          </w:tcPr>
          <w:p w14:paraId="14A3DEF9" w14:textId="6BB94186" w:rsidR="00C55AFA" w:rsidRPr="00966BD4" w:rsidRDefault="001B77CF" w:rsidP="00C55AFA">
            <w:pPr>
              <w:spacing w:before="0" w:after="0" w:line="240" w:lineRule="auto"/>
              <w:jc w:val="right"/>
              <w:rPr>
                <w:rFonts w:ascii="Arial" w:hAnsi="Arial" w:cs="Arial"/>
                <w:sz w:val="16"/>
                <w:szCs w:val="16"/>
              </w:rPr>
            </w:pPr>
            <w:r>
              <w:rPr>
                <w:rFonts w:ascii="Arial" w:hAnsi="Arial" w:cs="Arial"/>
                <w:sz w:val="16"/>
                <w:szCs w:val="16"/>
              </w:rPr>
              <w:noBreakHyphen/>
            </w:r>
            <w:r w:rsidR="00C55AFA" w:rsidRPr="00966BD4">
              <w:rPr>
                <w:rFonts w:ascii="Arial" w:hAnsi="Arial" w:cs="Arial"/>
                <w:sz w:val="16"/>
                <w:szCs w:val="16"/>
              </w:rPr>
              <w:t>0.3</w:t>
            </w:r>
          </w:p>
        </w:tc>
        <w:tc>
          <w:tcPr>
            <w:tcW w:w="493" w:type="pct"/>
            <w:tcBorders>
              <w:top w:val="nil"/>
              <w:left w:val="nil"/>
              <w:bottom w:val="nil"/>
              <w:right w:val="nil"/>
            </w:tcBorders>
            <w:shd w:val="clear" w:color="000000" w:fill="FFFFFF"/>
            <w:noWrap/>
            <w:vAlign w:val="bottom"/>
            <w:hideMark/>
          </w:tcPr>
          <w:p w14:paraId="6DADBB9D"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5.5</w:t>
            </w:r>
          </w:p>
        </w:tc>
        <w:tc>
          <w:tcPr>
            <w:tcW w:w="493" w:type="pct"/>
            <w:tcBorders>
              <w:top w:val="nil"/>
              <w:left w:val="nil"/>
              <w:bottom w:val="nil"/>
              <w:right w:val="nil"/>
            </w:tcBorders>
            <w:shd w:val="clear" w:color="000000" w:fill="FFFFFF"/>
            <w:noWrap/>
            <w:vAlign w:val="bottom"/>
            <w:hideMark/>
          </w:tcPr>
          <w:p w14:paraId="3D0368F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5.1</w:t>
            </w:r>
          </w:p>
        </w:tc>
      </w:tr>
      <w:tr w:rsidR="00C55AFA" w:rsidRPr="00966BD4" w14:paraId="23CE7FE0"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75B0F4DC"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Per cent of GDP </w:t>
            </w:r>
          </w:p>
        </w:tc>
        <w:tc>
          <w:tcPr>
            <w:tcW w:w="502" w:type="pct"/>
            <w:tcBorders>
              <w:top w:val="nil"/>
              <w:left w:val="nil"/>
              <w:bottom w:val="nil"/>
              <w:right w:val="nil"/>
            </w:tcBorders>
            <w:shd w:val="clear" w:color="000000" w:fill="FFFFFF"/>
            <w:noWrap/>
            <w:vAlign w:val="bottom"/>
            <w:hideMark/>
          </w:tcPr>
          <w:p w14:paraId="20AE92A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23.2</w:t>
            </w:r>
          </w:p>
        </w:tc>
        <w:tc>
          <w:tcPr>
            <w:tcW w:w="61" w:type="pct"/>
            <w:tcBorders>
              <w:top w:val="nil"/>
              <w:left w:val="nil"/>
              <w:bottom w:val="nil"/>
              <w:right w:val="nil"/>
            </w:tcBorders>
            <w:shd w:val="clear" w:color="000000" w:fill="FFFFFF"/>
            <w:noWrap/>
            <w:vAlign w:val="center"/>
            <w:hideMark/>
          </w:tcPr>
          <w:p w14:paraId="643E19A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3D6B83A5"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23.1</w:t>
            </w:r>
          </w:p>
        </w:tc>
        <w:tc>
          <w:tcPr>
            <w:tcW w:w="539" w:type="pct"/>
            <w:tcBorders>
              <w:top w:val="nil"/>
              <w:left w:val="nil"/>
              <w:bottom w:val="nil"/>
              <w:right w:val="nil"/>
            </w:tcBorders>
            <w:shd w:val="clear" w:color="000000" w:fill="E6F2FF"/>
            <w:noWrap/>
            <w:vAlign w:val="bottom"/>
            <w:hideMark/>
          </w:tcPr>
          <w:p w14:paraId="60A63891"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23.9</w:t>
            </w:r>
          </w:p>
        </w:tc>
        <w:tc>
          <w:tcPr>
            <w:tcW w:w="493" w:type="pct"/>
            <w:tcBorders>
              <w:top w:val="nil"/>
              <w:left w:val="nil"/>
              <w:bottom w:val="nil"/>
              <w:right w:val="nil"/>
            </w:tcBorders>
            <w:shd w:val="clear" w:color="000000" w:fill="FFFFFF"/>
            <w:noWrap/>
            <w:vAlign w:val="bottom"/>
            <w:hideMark/>
          </w:tcPr>
          <w:p w14:paraId="63D4F488"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23.3</w:t>
            </w:r>
          </w:p>
        </w:tc>
        <w:tc>
          <w:tcPr>
            <w:tcW w:w="493" w:type="pct"/>
            <w:tcBorders>
              <w:top w:val="nil"/>
              <w:left w:val="nil"/>
              <w:bottom w:val="nil"/>
              <w:right w:val="nil"/>
            </w:tcBorders>
            <w:shd w:val="clear" w:color="000000" w:fill="FFFFFF"/>
            <w:noWrap/>
            <w:vAlign w:val="bottom"/>
            <w:hideMark/>
          </w:tcPr>
          <w:p w14:paraId="7BB5E7C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23.3</w:t>
            </w:r>
          </w:p>
        </w:tc>
        <w:tc>
          <w:tcPr>
            <w:tcW w:w="493" w:type="pct"/>
            <w:tcBorders>
              <w:top w:val="nil"/>
              <w:left w:val="nil"/>
              <w:bottom w:val="nil"/>
              <w:right w:val="nil"/>
            </w:tcBorders>
            <w:shd w:val="clear" w:color="000000" w:fill="FFFFFF"/>
            <w:noWrap/>
            <w:vAlign w:val="bottom"/>
            <w:hideMark/>
          </w:tcPr>
          <w:p w14:paraId="0C89F6D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23.3</w:t>
            </w:r>
          </w:p>
        </w:tc>
      </w:tr>
      <w:tr w:rsidR="00C55AFA" w:rsidRPr="00966BD4" w14:paraId="377B61FF" w14:textId="77777777" w:rsidTr="00C55AFA">
        <w:trPr>
          <w:divId w:val="1127702492"/>
          <w:trHeight w:hRule="exact" w:val="60"/>
        </w:trPr>
        <w:tc>
          <w:tcPr>
            <w:tcW w:w="1924" w:type="pct"/>
            <w:tcBorders>
              <w:top w:val="nil"/>
              <w:left w:val="nil"/>
              <w:bottom w:val="nil"/>
              <w:right w:val="nil"/>
            </w:tcBorders>
            <w:shd w:val="clear" w:color="000000" w:fill="FFFFFF"/>
            <w:noWrap/>
            <w:vAlign w:val="center"/>
            <w:hideMark/>
          </w:tcPr>
          <w:p w14:paraId="440C86F2"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center"/>
            <w:hideMark/>
          </w:tcPr>
          <w:p w14:paraId="2FA1D23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61" w:type="pct"/>
            <w:tcBorders>
              <w:top w:val="nil"/>
              <w:left w:val="nil"/>
              <w:bottom w:val="nil"/>
              <w:right w:val="nil"/>
            </w:tcBorders>
            <w:shd w:val="clear" w:color="000000" w:fill="FFFFFF"/>
            <w:noWrap/>
            <w:vAlign w:val="center"/>
            <w:hideMark/>
          </w:tcPr>
          <w:p w14:paraId="6E09B1A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04F1970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539" w:type="pct"/>
            <w:tcBorders>
              <w:top w:val="nil"/>
              <w:left w:val="nil"/>
              <w:bottom w:val="nil"/>
              <w:right w:val="nil"/>
            </w:tcBorders>
            <w:shd w:val="clear" w:color="000000" w:fill="E6F2FF"/>
            <w:noWrap/>
            <w:vAlign w:val="center"/>
            <w:hideMark/>
          </w:tcPr>
          <w:p w14:paraId="433AEFE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471187DE"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0696368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4BB69B9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r>
      <w:tr w:rsidR="00C55AFA" w:rsidRPr="00966BD4" w14:paraId="7EA086EA"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136B3653" w14:textId="77777777" w:rsidR="00C55AFA" w:rsidRPr="00966BD4" w:rsidRDefault="00C55AFA" w:rsidP="00C55AFA">
            <w:pPr>
              <w:spacing w:before="0" w:after="0" w:line="240" w:lineRule="auto"/>
              <w:rPr>
                <w:rFonts w:ascii="Arial" w:hAnsi="Arial" w:cs="Arial"/>
                <w:b/>
                <w:sz w:val="16"/>
                <w:szCs w:val="16"/>
              </w:rPr>
            </w:pPr>
            <w:r w:rsidRPr="00966BD4">
              <w:rPr>
                <w:rFonts w:ascii="Arial" w:hAnsi="Arial" w:cs="Arial"/>
                <w:b/>
                <w:sz w:val="16"/>
                <w:szCs w:val="16"/>
              </w:rPr>
              <w:t>Tax receipts excluding GST ($b)</w:t>
            </w: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bottom"/>
            <w:hideMark/>
          </w:tcPr>
          <w:p w14:paraId="130FDAF5"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463.0</w:t>
            </w:r>
          </w:p>
        </w:tc>
        <w:tc>
          <w:tcPr>
            <w:tcW w:w="61" w:type="pct"/>
            <w:tcBorders>
              <w:top w:val="nil"/>
              <w:left w:val="nil"/>
              <w:bottom w:val="nil"/>
              <w:right w:val="nil"/>
            </w:tcBorders>
            <w:shd w:val="clear" w:color="000000" w:fill="FFFFFF"/>
            <w:noWrap/>
            <w:vAlign w:val="center"/>
            <w:hideMark/>
          </w:tcPr>
          <w:p w14:paraId="624FA37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243E4055"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506.4</w:t>
            </w:r>
          </w:p>
        </w:tc>
        <w:tc>
          <w:tcPr>
            <w:tcW w:w="539" w:type="pct"/>
            <w:tcBorders>
              <w:top w:val="nil"/>
              <w:left w:val="nil"/>
              <w:bottom w:val="nil"/>
              <w:right w:val="nil"/>
            </w:tcBorders>
            <w:shd w:val="clear" w:color="000000" w:fill="E6F2FF"/>
            <w:noWrap/>
            <w:vAlign w:val="bottom"/>
            <w:hideMark/>
          </w:tcPr>
          <w:p w14:paraId="0336B049"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530.4</w:t>
            </w:r>
          </w:p>
        </w:tc>
        <w:tc>
          <w:tcPr>
            <w:tcW w:w="493" w:type="pct"/>
            <w:tcBorders>
              <w:top w:val="nil"/>
              <w:left w:val="nil"/>
              <w:bottom w:val="nil"/>
              <w:right w:val="nil"/>
            </w:tcBorders>
            <w:shd w:val="clear" w:color="000000" w:fill="FFFFFF"/>
            <w:noWrap/>
            <w:vAlign w:val="bottom"/>
            <w:hideMark/>
          </w:tcPr>
          <w:p w14:paraId="641584DC"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525.1</w:t>
            </w:r>
          </w:p>
        </w:tc>
        <w:tc>
          <w:tcPr>
            <w:tcW w:w="493" w:type="pct"/>
            <w:tcBorders>
              <w:top w:val="nil"/>
              <w:left w:val="nil"/>
              <w:bottom w:val="nil"/>
              <w:right w:val="nil"/>
            </w:tcBorders>
            <w:shd w:val="clear" w:color="000000" w:fill="FFFFFF"/>
            <w:noWrap/>
            <w:vAlign w:val="bottom"/>
            <w:hideMark/>
          </w:tcPr>
          <w:p w14:paraId="2896C970"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553.4</w:t>
            </w:r>
          </w:p>
        </w:tc>
        <w:tc>
          <w:tcPr>
            <w:tcW w:w="493" w:type="pct"/>
            <w:tcBorders>
              <w:top w:val="nil"/>
              <w:left w:val="nil"/>
              <w:bottom w:val="nil"/>
              <w:right w:val="nil"/>
            </w:tcBorders>
            <w:shd w:val="clear" w:color="000000" w:fill="FFFFFF"/>
            <w:noWrap/>
            <w:vAlign w:val="bottom"/>
            <w:hideMark/>
          </w:tcPr>
          <w:p w14:paraId="3BBA8C2E"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580.6</w:t>
            </w:r>
          </w:p>
        </w:tc>
      </w:tr>
      <w:tr w:rsidR="00C55AFA" w:rsidRPr="00966BD4" w14:paraId="193DFF20"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6F64C6C6"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Growth on previous year (%) </w:t>
            </w:r>
          </w:p>
        </w:tc>
        <w:tc>
          <w:tcPr>
            <w:tcW w:w="502" w:type="pct"/>
            <w:tcBorders>
              <w:top w:val="nil"/>
              <w:left w:val="nil"/>
              <w:bottom w:val="nil"/>
              <w:right w:val="nil"/>
            </w:tcBorders>
            <w:shd w:val="clear" w:color="000000" w:fill="FFFFFF"/>
            <w:noWrap/>
            <w:vAlign w:val="bottom"/>
            <w:hideMark/>
          </w:tcPr>
          <w:p w14:paraId="082A9F3B"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15.5</w:t>
            </w:r>
          </w:p>
        </w:tc>
        <w:tc>
          <w:tcPr>
            <w:tcW w:w="61" w:type="pct"/>
            <w:tcBorders>
              <w:top w:val="nil"/>
              <w:left w:val="nil"/>
              <w:bottom w:val="nil"/>
              <w:right w:val="nil"/>
            </w:tcBorders>
            <w:shd w:val="clear" w:color="000000" w:fill="FFFFFF"/>
            <w:noWrap/>
            <w:vAlign w:val="center"/>
            <w:hideMark/>
          </w:tcPr>
          <w:p w14:paraId="662B534D"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2727AC0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9.4</w:t>
            </w:r>
          </w:p>
        </w:tc>
        <w:tc>
          <w:tcPr>
            <w:tcW w:w="539" w:type="pct"/>
            <w:tcBorders>
              <w:top w:val="nil"/>
              <w:left w:val="nil"/>
              <w:bottom w:val="nil"/>
              <w:right w:val="nil"/>
            </w:tcBorders>
            <w:shd w:val="clear" w:color="000000" w:fill="E6F2FF"/>
            <w:noWrap/>
            <w:vAlign w:val="bottom"/>
            <w:hideMark/>
          </w:tcPr>
          <w:p w14:paraId="37FE85F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4.7</w:t>
            </w:r>
          </w:p>
        </w:tc>
        <w:tc>
          <w:tcPr>
            <w:tcW w:w="493" w:type="pct"/>
            <w:tcBorders>
              <w:top w:val="nil"/>
              <w:left w:val="nil"/>
              <w:bottom w:val="nil"/>
              <w:right w:val="nil"/>
            </w:tcBorders>
            <w:shd w:val="clear" w:color="000000" w:fill="FFFFFF"/>
            <w:noWrap/>
            <w:vAlign w:val="bottom"/>
            <w:hideMark/>
          </w:tcPr>
          <w:p w14:paraId="3A6557C0" w14:textId="33E1A7C9" w:rsidR="00C55AFA" w:rsidRPr="00966BD4" w:rsidRDefault="001B77CF" w:rsidP="00C55AFA">
            <w:pPr>
              <w:spacing w:before="0" w:after="0" w:line="240" w:lineRule="auto"/>
              <w:jc w:val="right"/>
              <w:rPr>
                <w:rFonts w:ascii="Arial" w:hAnsi="Arial" w:cs="Arial"/>
                <w:sz w:val="16"/>
                <w:szCs w:val="16"/>
              </w:rPr>
            </w:pPr>
            <w:r>
              <w:rPr>
                <w:rFonts w:ascii="Arial" w:hAnsi="Arial" w:cs="Arial"/>
                <w:sz w:val="16"/>
                <w:szCs w:val="16"/>
              </w:rPr>
              <w:noBreakHyphen/>
            </w:r>
            <w:r w:rsidR="00C55AFA" w:rsidRPr="00966BD4">
              <w:rPr>
                <w:rFonts w:ascii="Arial" w:hAnsi="Arial" w:cs="Arial"/>
                <w:sz w:val="16"/>
                <w:szCs w:val="16"/>
              </w:rPr>
              <w:t>1.0</w:t>
            </w:r>
          </w:p>
        </w:tc>
        <w:tc>
          <w:tcPr>
            <w:tcW w:w="493" w:type="pct"/>
            <w:tcBorders>
              <w:top w:val="nil"/>
              <w:left w:val="nil"/>
              <w:bottom w:val="nil"/>
              <w:right w:val="nil"/>
            </w:tcBorders>
            <w:shd w:val="clear" w:color="000000" w:fill="FFFFFF"/>
            <w:noWrap/>
            <w:vAlign w:val="bottom"/>
            <w:hideMark/>
          </w:tcPr>
          <w:p w14:paraId="5CE43B7D"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5.4</w:t>
            </w:r>
          </w:p>
        </w:tc>
        <w:tc>
          <w:tcPr>
            <w:tcW w:w="493" w:type="pct"/>
            <w:tcBorders>
              <w:top w:val="nil"/>
              <w:left w:val="nil"/>
              <w:bottom w:val="nil"/>
              <w:right w:val="nil"/>
            </w:tcBorders>
            <w:shd w:val="clear" w:color="000000" w:fill="FFFFFF"/>
            <w:noWrap/>
            <w:vAlign w:val="bottom"/>
            <w:hideMark/>
          </w:tcPr>
          <w:p w14:paraId="3ACB02F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4.9</w:t>
            </w:r>
          </w:p>
        </w:tc>
      </w:tr>
      <w:tr w:rsidR="00C55AFA" w:rsidRPr="00966BD4" w14:paraId="559CA023"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7A711AFB"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Per cent of GDP </w:t>
            </w:r>
          </w:p>
        </w:tc>
        <w:tc>
          <w:tcPr>
            <w:tcW w:w="502" w:type="pct"/>
            <w:tcBorders>
              <w:top w:val="nil"/>
              <w:left w:val="nil"/>
              <w:bottom w:val="nil"/>
              <w:right w:val="nil"/>
            </w:tcBorders>
            <w:shd w:val="clear" w:color="000000" w:fill="FFFFFF"/>
            <w:noWrap/>
            <w:vAlign w:val="bottom"/>
            <w:hideMark/>
          </w:tcPr>
          <w:p w14:paraId="6024FD6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20.1</w:t>
            </w:r>
          </w:p>
        </w:tc>
        <w:tc>
          <w:tcPr>
            <w:tcW w:w="61" w:type="pct"/>
            <w:tcBorders>
              <w:top w:val="nil"/>
              <w:left w:val="nil"/>
              <w:bottom w:val="nil"/>
              <w:right w:val="nil"/>
            </w:tcBorders>
            <w:shd w:val="clear" w:color="000000" w:fill="FFFFFF"/>
            <w:noWrap/>
            <w:vAlign w:val="center"/>
            <w:hideMark/>
          </w:tcPr>
          <w:p w14:paraId="061A39C1"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372652B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19.9</w:t>
            </w:r>
          </w:p>
        </w:tc>
        <w:tc>
          <w:tcPr>
            <w:tcW w:w="539" w:type="pct"/>
            <w:tcBorders>
              <w:top w:val="nil"/>
              <w:left w:val="nil"/>
              <w:bottom w:val="nil"/>
              <w:right w:val="nil"/>
            </w:tcBorders>
            <w:shd w:val="clear" w:color="000000" w:fill="E6F2FF"/>
            <w:noWrap/>
            <w:vAlign w:val="bottom"/>
            <w:hideMark/>
          </w:tcPr>
          <w:p w14:paraId="544019C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20.6</w:t>
            </w:r>
          </w:p>
        </w:tc>
        <w:tc>
          <w:tcPr>
            <w:tcW w:w="493" w:type="pct"/>
            <w:tcBorders>
              <w:top w:val="nil"/>
              <w:left w:val="nil"/>
              <w:bottom w:val="nil"/>
              <w:right w:val="nil"/>
            </w:tcBorders>
            <w:shd w:val="clear" w:color="000000" w:fill="FFFFFF"/>
            <w:noWrap/>
            <w:vAlign w:val="bottom"/>
            <w:hideMark/>
          </w:tcPr>
          <w:p w14:paraId="3A291B2B"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19.9</w:t>
            </w:r>
          </w:p>
        </w:tc>
        <w:tc>
          <w:tcPr>
            <w:tcW w:w="493" w:type="pct"/>
            <w:tcBorders>
              <w:top w:val="nil"/>
              <w:left w:val="nil"/>
              <w:bottom w:val="nil"/>
              <w:right w:val="nil"/>
            </w:tcBorders>
            <w:shd w:val="clear" w:color="000000" w:fill="FFFFFF"/>
            <w:noWrap/>
            <w:vAlign w:val="bottom"/>
            <w:hideMark/>
          </w:tcPr>
          <w:p w14:paraId="5604057B"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19.9</w:t>
            </w:r>
          </w:p>
        </w:tc>
        <w:tc>
          <w:tcPr>
            <w:tcW w:w="493" w:type="pct"/>
            <w:tcBorders>
              <w:top w:val="nil"/>
              <w:left w:val="nil"/>
              <w:bottom w:val="nil"/>
              <w:right w:val="nil"/>
            </w:tcBorders>
            <w:shd w:val="clear" w:color="000000" w:fill="FFFFFF"/>
            <w:noWrap/>
            <w:vAlign w:val="bottom"/>
            <w:hideMark/>
          </w:tcPr>
          <w:p w14:paraId="735316B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19.9</w:t>
            </w:r>
          </w:p>
        </w:tc>
      </w:tr>
      <w:tr w:rsidR="00C55AFA" w:rsidRPr="00966BD4" w14:paraId="6A73FD5E" w14:textId="77777777" w:rsidTr="00C55AFA">
        <w:trPr>
          <w:divId w:val="1127702492"/>
          <w:trHeight w:hRule="exact" w:val="60"/>
        </w:trPr>
        <w:tc>
          <w:tcPr>
            <w:tcW w:w="1924" w:type="pct"/>
            <w:tcBorders>
              <w:top w:val="nil"/>
              <w:left w:val="nil"/>
              <w:bottom w:val="nil"/>
              <w:right w:val="nil"/>
            </w:tcBorders>
            <w:shd w:val="clear" w:color="000000" w:fill="FFFFFF"/>
            <w:noWrap/>
            <w:vAlign w:val="center"/>
            <w:hideMark/>
          </w:tcPr>
          <w:p w14:paraId="74B83734"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center"/>
            <w:hideMark/>
          </w:tcPr>
          <w:p w14:paraId="5A2AB39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61" w:type="pct"/>
            <w:tcBorders>
              <w:top w:val="nil"/>
              <w:left w:val="nil"/>
              <w:bottom w:val="nil"/>
              <w:right w:val="nil"/>
            </w:tcBorders>
            <w:shd w:val="clear" w:color="000000" w:fill="FFFFFF"/>
            <w:noWrap/>
            <w:vAlign w:val="center"/>
            <w:hideMark/>
          </w:tcPr>
          <w:p w14:paraId="3338585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13A1A2B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539" w:type="pct"/>
            <w:tcBorders>
              <w:top w:val="nil"/>
              <w:left w:val="nil"/>
              <w:bottom w:val="nil"/>
              <w:right w:val="nil"/>
            </w:tcBorders>
            <w:shd w:val="clear" w:color="000000" w:fill="E6F2FF"/>
            <w:noWrap/>
            <w:vAlign w:val="center"/>
            <w:hideMark/>
          </w:tcPr>
          <w:p w14:paraId="3AEC77F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1CC3E427"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22146B5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04667A71"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r>
      <w:tr w:rsidR="00C55AFA" w:rsidRPr="00966BD4" w14:paraId="42C525C1"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7ECBE173" w14:textId="471CAB96" w:rsidR="00C55AFA" w:rsidRPr="00966BD4" w:rsidRDefault="00C55AFA" w:rsidP="00C55AFA">
            <w:pPr>
              <w:spacing w:before="0" w:after="0" w:line="240" w:lineRule="auto"/>
              <w:rPr>
                <w:rFonts w:ascii="Arial" w:hAnsi="Arial" w:cs="Arial"/>
                <w:b/>
                <w:sz w:val="16"/>
                <w:szCs w:val="16"/>
              </w:rPr>
            </w:pPr>
            <w:r w:rsidRPr="00966BD4">
              <w:rPr>
                <w:rFonts w:ascii="Arial" w:hAnsi="Arial" w:cs="Arial"/>
                <w:b/>
                <w:sz w:val="16"/>
                <w:szCs w:val="16"/>
              </w:rPr>
              <w:t>Non</w:t>
            </w:r>
            <w:r w:rsidR="001B77CF">
              <w:rPr>
                <w:rFonts w:ascii="Arial" w:hAnsi="Arial" w:cs="Arial"/>
                <w:b/>
                <w:sz w:val="16"/>
                <w:szCs w:val="16"/>
              </w:rPr>
              <w:noBreakHyphen/>
            </w:r>
            <w:r w:rsidRPr="00966BD4">
              <w:rPr>
                <w:rFonts w:ascii="Arial" w:hAnsi="Arial" w:cs="Arial"/>
                <w:b/>
                <w:sz w:val="16"/>
                <w:szCs w:val="16"/>
              </w:rPr>
              <w:t>taxation receipts ($b)</w:t>
            </w: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bottom"/>
            <w:hideMark/>
          </w:tcPr>
          <w:p w14:paraId="6E9504F7"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47.8</w:t>
            </w:r>
          </w:p>
        </w:tc>
        <w:tc>
          <w:tcPr>
            <w:tcW w:w="61" w:type="pct"/>
            <w:tcBorders>
              <w:top w:val="nil"/>
              <w:left w:val="nil"/>
              <w:bottom w:val="nil"/>
              <w:right w:val="nil"/>
            </w:tcBorders>
            <w:shd w:val="clear" w:color="000000" w:fill="FFFFFF"/>
            <w:noWrap/>
            <w:vAlign w:val="center"/>
            <w:hideMark/>
          </w:tcPr>
          <w:p w14:paraId="65EC723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3AE76766"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47.5</w:t>
            </w:r>
          </w:p>
        </w:tc>
        <w:tc>
          <w:tcPr>
            <w:tcW w:w="539" w:type="pct"/>
            <w:tcBorders>
              <w:top w:val="nil"/>
              <w:left w:val="nil"/>
              <w:bottom w:val="nil"/>
              <w:right w:val="nil"/>
            </w:tcBorders>
            <w:shd w:val="clear" w:color="000000" w:fill="E6F2FF"/>
            <w:noWrap/>
            <w:vAlign w:val="bottom"/>
            <w:hideMark/>
          </w:tcPr>
          <w:p w14:paraId="5A769AB5"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51.9</w:t>
            </w:r>
          </w:p>
        </w:tc>
        <w:tc>
          <w:tcPr>
            <w:tcW w:w="493" w:type="pct"/>
            <w:tcBorders>
              <w:top w:val="nil"/>
              <w:left w:val="nil"/>
              <w:bottom w:val="nil"/>
              <w:right w:val="nil"/>
            </w:tcBorders>
            <w:shd w:val="clear" w:color="000000" w:fill="FFFFFF"/>
            <w:noWrap/>
            <w:vAlign w:val="bottom"/>
            <w:hideMark/>
          </w:tcPr>
          <w:p w14:paraId="1319E5C0"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56.9</w:t>
            </w:r>
          </w:p>
        </w:tc>
        <w:tc>
          <w:tcPr>
            <w:tcW w:w="493" w:type="pct"/>
            <w:tcBorders>
              <w:top w:val="nil"/>
              <w:left w:val="nil"/>
              <w:bottom w:val="nil"/>
              <w:right w:val="nil"/>
            </w:tcBorders>
            <w:shd w:val="clear" w:color="000000" w:fill="FFFFFF"/>
            <w:noWrap/>
            <w:vAlign w:val="bottom"/>
            <w:hideMark/>
          </w:tcPr>
          <w:p w14:paraId="638FC1FA"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53.1</w:t>
            </w:r>
          </w:p>
        </w:tc>
        <w:tc>
          <w:tcPr>
            <w:tcW w:w="493" w:type="pct"/>
            <w:tcBorders>
              <w:top w:val="nil"/>
              <w:left w:val="nil"/>
              <w:bottom w:val="nil"/>
              <w:right w:val="nil"/>
            </w:tcBorders>
            <w:shd w:val="clear" w:color="000000" w:fill="FFFFFF"/>
            <w:noWrap/>
            <w:vAlign w:val="bottom"/>
            <w:hideMark/>
          </w:tcPr>
          <w:p w14:paraId="1D117BC0"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54.4</w:t>
            </w:r>
          </w:p>
        </w:tc>
      </w:tr>
      <w:tr w:rsidR="00C55AFA" w:rsidRPr="00966BD4" w14:paraId="08EE0D50"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20462F03"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Growth on previous year (%) </w:t>
            </w:r>
          </w:p>
        </w:tc>
        <w:tc>
          <w:tcPr>
            <w:tcW w:w="502" w:type="pct"/>
            <w:tcBorders>
              <w:top w:val="nil"/>
              <w:left w:val="nil"/>
              <w:bottom w:val="nil"/>
              <w:right w:val="nil"/>
            </w:tcBorders>
            <w:shd w:val="clear" w:color="000000" w:fill="FFFFFF"/>
            <w:noWrap/>
            <w:vAlign w:val="bottom"/>
            <w:hideMark/>
          </w:tcPr>
          <w:p w14:paraId="3F864E05"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3.7</w:t>
            </w:r>
          </w:p>
        </w:tc>
        <w:tc>
          <w:tcPr>
            <w:tcW w:w="61" w:type="pct"/>
            <w:tcBorders>
              <w:top w:val="nil"/>
              <w:left w:val="nil"/>
              <w:bottom w:val="nil"/>
              <w:right w:val="nil"/>
            </w:tcBorders>
            <w:shd w:val="clear" w:color="000000" w:fill="FFFFFF"/>
            <w:noWrap/>
            <w:vAlign w:val="center"/>
            <w:hideMark/>
          </w:tcPr>
          <w:p w14:paraId="1E6BFE0B"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2FFDB8E0" w14:textId="4ADA8D88" w:rsidR="00C55AFA" w:rsidRPr="00966BD4" w:rsidRDefault="001B77CF" w:rsidP="00C55AFA">
            <w:pPr>
              <w:spacing w:before="0" w:after="0" w:line="240" w:lineRule="auto"/>
              <w:jc w:val="right"/>
              <w:rPr>
                <w:rFonts w:ascii="Arial" w:hAnsi="Arial" w:cs="Arial"/>
                <w:sz w:val="16"/>
                <w:szCs w:val="16"/>
              </w:rPr>
            </w:pPr>
            <w:r>
              <w:rPr>
                <w:rFonts w:ascii="Arial" w:hAnsi="Arial" w:cs="Arial"/>
                <w:sz w:val="16"/>
                <w:szCs w:val="16"/>
              </w:rPr>
              <w:noBreakHyphen/>
            </w:r>
            <w:r w:rsidR="00C55AFA" w:rsidRPr="00966BD4">
              <w:rPr>
                <w:rFonts w:ascii="Arial" w:hAnsi="Arial" w:cs="Arial"/>
                <w:sz w:val="16"/>
                <w:szCs w:val="16"/>
              </w:rPr>
              <w:t>0.5</w:t>
            </w:r>
          </w:p>
        </w:tc>
        <w:tc>
          <w:tcPr>
            <w:tcW w:w="539" w:type="pct"/>
            <w:tcBorders>
              <w:top w:val="nil"/>
              <w:left w:val="nil"/>
              <w:bottom w:val="nil"/>
              <w:right w:val="nil"/>
            </w:tcBorders>
            <w:shd w:val="clear" w:color="000000" w:fill="E6F2FF"/>
            <w:noWrap/>
            <w:vAlign w:val="bottom"/>
            <w:hideMark/>
          </w:tcPr>
          <w:p w14:paraId="33AA2AC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9.1</w:t>
            </w:r>
          </w:p>
        </w:tc>
        <w:tc>
          <w:tcPr>
            <w:tcW w:w="493" w:type="pct"/>
            <w:tcBorders>
              <w:top w:val="nil"/>
              <w:left w:val="nil"/>
              <w:bottom w:val="nil"/>
              <w:right w:val="nil"/>
            </w:tcBorders>
            <w:shd w:val="clear" w:color="000000" w:fill="FFFFFF"/>
            <w:noWrap/>
            <w:vAlign w:val="bottom"/>
            <w:hideMark/>
          </w:tcPr>
          <w:p w14:paraId="223850D1"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9.7</w:t>
            </w:r>
          </w:p>
        </w:tc>
        <w:tc>
          <w:tcPr>
            <w:tcW w:w="493" w:type="pct"/>
            <w:tcBorders>
              <w:top w:val="nil"/>
              <w:left w:val="nil"/>
              <w:bottom w:val="nil"/>
              <w:right w:val="nil"/>
            </w:tcBorders>
            <w:shd w:val="clear" w:color="000000" w:fill="FFFFFF"/>
            <w:noWrap/>
            <w:vAlign w:val="bottom"/>
            <w:hideMark/>
          </w:tcPr>
          <w:p w14:paraId="658115B3" w14:textId="397F50D5" w:rsidR="00C55AFA" w:rsidRPr="00966BD4" w:rsidRDefault="001B77CF" w:rsidP="00C55AFA">
            <w:pPr>
              <w:spacing w:before="0" w:after="0" w:line="240" w:lineRule="auto"/>
              <w:jc w:val="right"/>
              <w:rPr>
                <w:rFonts w:ascii="Arial" w:hAnsi="Arial" w:cs="Arial"/>
                <w:sz w:val="16"/>
                <w:szCs w:val="16"/>
              </w:rPr>
            </w:pPr>
            <w:r>
              <w:rPr>
                <w:rFonts w:ascii="Arial" w:hAnsi="Arial" w:cs="Arial"/>
                <w:sz w:val="16"/>
                <w:szCs w:val="16"/>
              </w:rPr>
              <w:noBreakHyphen/>
            </w:r>
            <w:r w:rsidR="00C55AFA" w:rsidRPr="00966BD4">
              <w:rPr>
                <w:rFonts w:ascii="Arial" w:hAnsi="Arial" w:cs="Arial"/>
                <w:sz w:val="16"/>
                <w:szCs w:val="16"/>
              </w:rPr>
              <w:t>6.7</w:t>
            </w:r>
          </w:p>
        </w:tc>
        <w:tc>
          <w:tcPr>
            <w:tcW w:w="493" w:type="pct"/>
            <w:tcBorders>
              <w:top w:val="nil"/>
              <w:left w:val="nil"/>
              <w:bottom w:val="nil"/>
              <w:right w:val="nil"/>
            </w:tcBorders>
            <w:shd w:val="clear" w:color="000000" w:fill="FFFFFF"/>
            <w:noWrap/>
            <w:vAlign w:val="bottom"/>
            <w:hideMark/>
          </w:tcPr>
          <w:p w14:paraId="242A619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2.4</w:t>
            </w:r>
          </w:p>
        </w:tc>
      </w:tr>
      <w:tr w:rsidR="00C55AFA" w:rsidRPr="00966BD4" w14:paraId="141B1CC0"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2F815F6D"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Per cent of GDP </w:t>
            </w:r>
          </w:p>
        </w:tc>
        <w:tc>
          <w:tcPr>
            <w:tcW w:w="502" w:type="pct"/>
            <w:tcBorders>
              <w:top w:val="nil"/>
              <w:left w:val="nil"/>
              <w:bottom w:val="nil"/>
              <w:right w:val="nil"/>
            </w:tcBorders>
            <w:shd w:val="clear" w:color="000000" w:fill="FFFFFF"/>
            <w:noWrap/>
            <w:vAlign w:val="bottom"/>
            <w:hideMark/>
          </w:tcPr>
          <w:p w14:paraId="1136964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2.1</w:t>
            </w:r>
          </w:p>
        </w:tc>
        <w:tc>
          <w:tcPr>
            <w:tcW w:w="61" w:type="pct"/>
            <w:tcBorders>
              <w:top w:val="nil"/>
              <w:left w:val="nil"/>
              <w:bottom w:val="nil"/>
              <w:right w:val="nil"/>
            </w:tcBorders>
            <w:shd w:val="clear" w:color="000000" w:fill="FFFFFF"/>
            <w:noWrap/>
            <w:vAlign w:val="center"/>
            <w:hideMark/>
          </w:tcPr>
          <w:p w14:paraId="762F74F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15A7CFED"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w:t>
            </w:r>
          </w:p>
        </w:tc>
        <w:tc>
          <w:tcPr>
            <w:tcW w:w="539" w:type="pct"/>
            <w:tcBorders>
              <w:top w:val="nil"/>
              <w:left w:val="nil"/>
              <w:bottom w:val="nil"/>
              <w:right w:val="nil"/>
            </w:tcBorders>
            <w:shd w:val="clear" w:color="000000" w:fill="E6F2FF"/>
            <w:noWrap/>
            <w:vAlign w:val="bottom"/>
            <w:hideMark/>
          </w:tcPr>
          <w:p w14:paraId="61E06B9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2.0</w:t>
            </w:r>
          </w:p>
        </w:tc>
        <w:tc>
          <w:tcPr>
            <w:tcW w:w="493" w:type="pct"/>
            <w:tcBorders>
              <w:top w:val="nil"/>
              <w:left w:val="nil"/>
              <w:bottom w:val="nil"/>
              <w:right w:val="nil"/>
            </w:tcBorders>
            <w:shd w:val="clear" w:color="000000" w:fill="FFFFFF"/>
            <w:noWrap/>
            <w:vAlign w:val="bottom"/>
            <w:hideMark/>
          </w:tcPr>
          <w:p w14:paraId="798D994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2.2</w:t>
            </w:r>
          </w:p>
        </w:tc>
        <w:tc>
          <w:tcPr>
            <w:tcW w:w="493" w:type="pct"/>
            <w:tcBorders>
              <w:top w:val="nil"/>
              <w:left w:val="nil"/>
              <w:bottom w:val="nil"/>
              <w:right w:val="nil"/>
            </w:tcBorders>
            <w:shd w:val="clear" w:color="000000" w:fill="FFFFFF"/>
            <w:noWrap/>
            <w:vAlign w:val="bottom"/>
            <w:hideMark/>
          </w:tcPr>
          <w:p w14:paraId="483D8BC3"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w:t>
            </w:r>
          </w:p>
        </w:tc>
        <w:tc>
          <w:tcPr>
            <w:tcW w:w="493" w:type="pct"/>
            <w:tcBorders>
              <w:top w:val="nil"/>
              <w:left w:val="nil"/>
              <w:bottom w:val="nil"/>
              <w:right w:val="nil"/>
            </w:tcBorders>
            <w:shd w:val="clear" w:color="000000" w:fill="FFFFFF"/>
            <w:noWrap/>
            <w:vAlign w:val="bottom"/>
            <w:hideMark/>
          </w:tcPr>
          <w:p w14:paraId="7C278B62"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1.9</w:t>
            </w:r>
          </w:p>
        </w:tc>
      </w:tr>
      <w:tr w:rsidR="00C55AFA" w:rsidRPr="00966BD4" w14:paraId="10C1FB55" w14:textId="77777777" w:rsidTr="00C55AFA">
        <w:trPr>
          <w:divId w:val="1127702492"/>
          <w:trHeight w:hRule="exact" w:val="60"/>
        </w:trPr>
        <w:tc>
          <w:tcPr>
            <w:tcW w:w="1924" w:type="pct"/>
            <w:tcBorders>
              <w:top w:val="nil"/>
              <w:left w:val="nil"/>
              <w:bottom w:val="nil"/>
              <w:right w:val="nil"/>
            </w:tcBorders>
            <w:shd w:val="clear" w:color="000000" w:fill="FFFFFF"/>
            <w:noWrap/>
            <w:vAlign w:val="center"/>
            <w:hideMark/>
          </w:tcPr>
          <w:p w14:paraId="6F2AA5D3"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center"/>
            <w:hideMark/>
          </w:tcPr>
          <w:p w14:paraId="522872B5"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61" w:type="pct"/>
            <w:tcBorders>
              <w:top w:val="nil"/>
              <w:left w:val="nil"/>
              <w:bottom w:val="nil"/>
              <w:right w:val="nil"/>
            </w:tcBorders>
            <w:shd w:val="clear" w:color="000000" w:fill="FFFFFF"/>
            <w:noWrap/>
            <w:vAlign w:val="center"/>
            <w:hideMark/>
          </w:tcPr>
          <w:p w14:paraId="74C568A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544E0718"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539" w:type="pct"/>
            <w:tcBorders>
              <w:top w:val="nil"/>
              <w:left w:val="nil"/>
              <w:bottom w:val="nil"/>
              <w:right w:val="nil"/>
            </w:tcBorders>
            <w:shd w:val="clear" w:color="000000" w:fill="E6F2FF"/>
            <w:noWrap/>
            <w:vAlign w:val="center"/>
            <w:hideMark/>
          </w:tcPr>
          <w:p w14:paraId="507317E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6A69FB1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7ED2CEA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center"/>
            <w:hideMark/>
          </w:tcPr>
          <w:p w14:paraId="784F2EC4"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r>
      <w:tr w:rsidR="00C55AFA" w:rsidRPr="00966BD4" w14:paraId="0ACFD912"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7CD3B588" w14:textId="77777777" w:rsidR="00C55AFA" w:rsidRPr="00966BD4" w:rsidRDefault="00C55AFA" w:rsidP="00C55AFA">
            <w:pPr>
              <w:spacing w:before="0" w:after="0" w:line="240" w:lineRule="auto"/>
              <w:rPr>
                <w:rFonts w:ascii="Arial" w:hAnsi="Arial" w:cs="Arial"/>
                <w:b/>
                <w:sz w:val="16"/>
                <w:szCs w:val="16"/>
              </w:rPr>
            </w:pPr>
            <w:r w:rsidRPr="00966BD4">
              <w:rPr>
                <w:rFonts w:ascii="Arial" w:hAnsi="Arial" w:cs="Arial"/>
                <w:b/>
                <w:sz w:val="16"/>
                <w:szCs w:val="16"/>
              </w:rPr>
              <w:t>Total receipts ($b)</w:t>
            </w:r>
            <w:r w:rsidRPr="00966BD4">
              <w:rPr>
                <w:rFonts w:ascii="Arial" w:hAnsi="Arial" w:cs="Arial"/>
                <w:sz w:val="16"/>
                <w:szCs w:val="16"/>
              </w:rPr>
              <w:t> </w:t>
            </w:r>
          </w:p>
        </w:tc>
        <w:tc>
          <w:tcPr>
            <w:tcW w:w="502" w:type="pct"/>
            <w:tcBorders>
              <w:top w:val="nil"/>
              <w:left w:val="nil"/>
              <w:bottom w:val="nil"/>
              <w:right w:val="nil"/>
            </w:tcBorders>
            <w:shd w:val="clear" w:color="000000" w:fill="FFFFFF"/>
            <w:noWrap/>
            <w:vAlign w:val="bottom"/>
            <w:hideMark/>
          </w:tcPr>
          <w:p w14:paraId="60E81173"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584.4</w:t>
            </w:r>
          </w:p>
        </w:tc>
        <w:tc>
          <w:tcPr>
            <w:tcW w:w="61" w:type="pct"/>
            <w:tcBorders>
              <w:top w:val="nil"/>
              <w:left w:val="nil"/>
              <w:bottom w:val="nil"/>
              <w:right w:val="nil"/>
            </w:tcBorders>
            <w:shd w:val="clear" w:color="000000" w:fill="FFFFFF"/>
            <w:noWrap/>
            <w:vAlign w:val="center"/>
            <w:hideMark/>
          </w:tcPr>
          <w:p w14:paraId="41F24A1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0711EC24"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635.6</w:t>
            </w:r>
          </w:p>
        </w:tc>
        <w:tc>
          <w:tcPr>
            <w:tcW w:w="539" w:type="pct"/>
            <w:tcBorders>
              <w:top w:val="nil"/>
              <w:left w:val="nil"/>
              <w:bottom w:val="nil"/>
              <w:right w:val="nil"/>
            </w:tcBorders>
            <w:shd w:val="clear" w:color="000000" w:fill="E6F2FF"/>
            <w:noWrap/>
            <w:vAlign w:val="bottom"/>
            <w:hideMark/>
          </w:tcPr>
          <w:p w14:paraId="559CDDFE"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668.1</w:t>
            </w:r>
          </w:p>
        </w:tc>
        <w:tc>
          <w:tcPr>
            <w:tcW w:w="493" w:type="pct"/>
            <w:tcBorders>
              <w:top w:val="nil"/>
              <w:left w:val="nil"/>
              <w:bottom w:val="nil"/>
              <w:right w:val="nil"/>
            </w:tcBorders>
            <w:shd w:val="clear" w:color="000000" w:fill="FFFFFF"/>
            <w:noWrap/>
            <w:vAlign w:val="bottom"/>
            <w:hideMark/>
          </w:tcPr>
          <w:p w14:paraId="7DFD4CF6"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671.2</w:t>
            </w:r>
          </w:p>
        </w:tc>
        <w:tc>
          <w:tcPr>
            <w:tcW w:w="493" w:type="pct"/>
            <w:tcBorders>
              <w:top w:val="nil"/>
              <w:left w:val="nil"/>
              <w:bottom w:val="nil"/>
              <w:right w:val="nil"/>
            </w:tcBorders>
            <w:shd w:val="clear" w:color="000000" w:fill="FFFFFF"/>
            <w:noWrap/>
            <w:vAlign w:val="bottom"/>
            <w:hideMark/>
          </w:tcPr>
          <w:p w14:paraId="797E6496"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700.9</w:t>
            </w:r>
          </w:p>
        </w:tc>
        <w:tc>
          <w:tcPr>
            <w:tcW w:w="493" w:type="pct"/>
            <w:tcBorders>
              <w:top w:val="nil"/>
              <w:left w:val="nil"/>
              <w:bottom w:val="nil"/>
              <w:right w:val="nil"/>
            </w:tcBorders>
            <w:shd w:val="clear" w:color="000000" w:fill="FFFFFF"/>
            <w:noWrap/>
            <w:vAlign w:val="bottom"/>
            <w:hideMark/>
          </w:tcPr>
          <w:p w14:paraId="00E5CC00" w14:textId="77777777" w:rsidR="00C55AFA" w:rsidRPr="00966BD4" w:rsidRDefault="00C55AFA" w:rsidP="00C55AFA">
            <w:pPr>
              <w:spacing w:before="0" w:after="0" w:line="240" w:lineRule="auto"/>
              <w:jc w:val="right"/>
              <w:rPr>
                <w:rFonts w:ascii="Arial" w:hAnsi="Arial" w:cs="Arial"/>
                <w:b/>
                <w:sz w:val="16"/>
                <w:szCs w:val="16"/>
              </w:rPr>
            </w:pPr>
            <w:r w:rsidRPr="00966BD4">
              <w:rPr>
                <w:rFonts w:ascii="Arial" w:hAnsi="Arial" w:cs="Arial"/>
                <w:b/>
                <w:sz w:val="16"/>
                <w:szCs w:val="16"/>
              </w:rPr>
              <w:t>735.1</w:t>
            </w:r>
          </w:p>
        </w:tc>
      </w:tr>
      <w:tr w:rsidR="00C55AFA" w:rsidRPr="00966BD4" w14:paraId="75DBDFDF" w14:textId="77777777" w:rsidTr="00C55AFA">
        <w:trPr>
          <w:divId w:val="1127702492"/>
          <w:trHeight w:hRule="exact" w:val="226"/>
        </w:trPr>
        <w:tc>
          <w:tcPr>
            <w:tcW w:w="1924" w:type="pct"/>
            <w:tcBorders>
              <w:top w:val="nil"/>
              <w:left w:val="nil"/>
              <w:bottom w:val="nil"/>
              <w:right w:val="nil"/>
            </w:tcBorders>
            <w:shd w:val="clear" w:color="000000" w:fill="FFFFFF"/>
            <w:noWrap/>
            <w:vAlign w:val="center"/>
            <w:hideMark/>
          </w:tcPr>
          <w:p w14:paraId="62C73C70"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Growth on previous year (%) </w:t>
            </w:r>
          </w:p>
        </w:tc>
        <w:tc>
          <w:tcPr>
            <w:tcW w:w="502" w:type="pct"/>
            <w:tcBorders>
              <w:top w:val="nil"/>
              <w:left w:val="nil"/>
              <w:bottom w:val="nil"/>
              <w:right w:val="nil"/>
            </w:tcBorders>
            <w:shd w:val="clear" w:color="000000" w:fill="FFFFFF"/>
            <w:noWrap/>
            <w:vAlign w:val="bottom"/>
            <w:hideMark/>
          </w:tcPr>
          <w:p w14:paraId="1066832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12.4</w:t>
            </w:r>
          </w:p>
        </w:tc>
        <w:tc>
          <w:tcPr>
            <w:tcW w:w="61" w:type="pct"/>
            <w:tcBorders>
              <w:top w:val="nil"/>
              <w:left w:val="nil"/>
              <w:bottom w:val="nil"/>
              <w:right w:val="nil"/>
            </w:tcBorders>
            <w:shd w:val="clear" w:color="000000" w:fill="FFFFFF"/>
            <w:noWrap/>
            <w:vAlign w:val="center"/>
            <w:hideMark/>
          </w:tcPr>
          <w:p w14:paraId="47C2EF1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nil"/>
              <w:right w:val="nil"/>
            </w:tcBorders>
            <w:shd w:val="clear" w:color="000000" w:fill="FFFFFF"/>
            <w:noWrap/>
            <w:vAlign w:val="bottom"/>
            <w:hideMark/>
          </w:tcPr>
          <w:p w14:paraId="1C5C64AF"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8.8</w:t>
            </w:r>
          </w:p>
        </w:tc>
        <w:tc>
          <w:tcPr>
            <w:tcW w:w="539" w:type="pct"/>
            <w:tcBorders>
              <w:top w:val="nil"/>
              <w:left w:val="nil"/>
              <w:bottom w:val="nil"/>
              <w:right w:val="nil"/>
            </w:tcBorders>
            <w:shd w:val="clear" w:color="000000" w:fill="E6F2FF"/>
            <w:noWrap/>
            <w:vAlign w:val="bottom"/>
            <w:hideMark/>
          </w:tcPr>
          <w:p w14:paraId="1F8F610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5.1</w:t>
            </w:r>
          </w:p>
        </w:tc>
        <w:tc>
          <w:tcPr>
            <w:tcW w:w="493" w:type="pct"/>
            <w:tcBorders>
              <w:top w:val="nil"/>
              <w:left w:val="nil"/>
              <w:bottom w:val="nil"/>
              <w:right w:val="nil"/>
            </w:tcBorders>
            <w:shd w:val="clear" w:color="000000" w:fill="FFFFFF"/>
            <w:noWrap/>
            <w:vAlign w:val="bottom"/>
            <w:hideMark/>
          </w:tcPr>
          <w:p w14:paraId="5A8ACA2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0.5</w:t>
            </w:r>
          </w:p>
        </w:tc>
        <w:tc>
          <w:tcPr>
            <w:tcW w:w="493" w:type="pct"/>
            <w:tcBorders>
              <w:top w:val="nil"/>
              <w:left w:val="nil"/>
              <w:bottom w:val="nil"/>
              <w:right w:val="nil"/>
            </w:tcBorders>
            <w:shd w:val="clear" w:color="000000" w:fill="FFFFFF"/>
            <w:noWrap/>
            <w:vAlign w:val="bottom"/>
            <w:hideMark/>
          </w:tcPr>
          <w:p w14:paraId="197AD86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4.4</w:t>
            </w:r>
          </w:p>
        </w:tc>
        <w:tc>
          <w:tcPr>
            <w:tcW w:w="493" w:type="pct"/>
            <w:tcBorders>
              <w:top w:val="nil"/>
              <w:left w:val="nil"/>
              <w:bottom w:val="nil"/>
              <w:right w:val="nil"/>
            </w:tcBorders>
            <w:shd w:val="clear" w:color="000000" w:fill="FFFFFF"/>
            <w:noWrap/>
            <w:vAlign w:val="bottom"/>
            <w:hideMark/>
          </w:tcPr>
          <w:p w14:paraId="18CC6F70"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4.9</w:t>
            </w:r>
          </w:p>
        </w:tc>
      </w:tr>
      <w:tr w:rsidR="00C55AFA" w:rsidRPr="00966BD4" w14:paraId="4875E246" w14:textId="77777777" w:rsidTr="00C55AFA">
        <w:trPr>
          <w:divId w:val="1127702492"/>
          <w:trHeight w:hRule="exact" w:val="226"/>
        </w:trPr>
        <w:tc>
          <w:tcPr>
            <w:tcW w:w="1924" w:type="pct"/>
            <w:tcBorders>
              <w:top w:val="nil"/>
              <w:left w:val="nil"/>
              <w:bottom w:val="single" w:sz="4" w:space="0" w:color="000000"/>
              <w:right w:val="nil"/>
            </w:tcBorders>
            <w:shd w:val="clear" w:color="000000" w:fill="FFFFFF"/>
            <w:noWrap/>
            <w:vAlign w:val="center"/>
            <w:hideMark/>
          </w:tcPr>
          <w:p w14:paraId="0F285318" w14:textId="77777777" w:rsidR="00C55AFA" w:rsidRPr="00966BD4" w:rsidRDefault="00C55AFA" w:rsidP="00C55AFA">
            <w:pPr>
              <w:spacing w:before="0" w:after="0" w:line="240" w:lineRule="auto"/>
              <w:rPr>
                <w:rFonts w:ascii="Arial" w:hAnsi="Arial" w:cs="Arial"/>
                <w:sz w:val="16"/>
                <w:szCs w:val="16"/>
              </w:rPr>
            </w:pPr>
            <w:r w:rsidRPr="00966BD4">
              <w:rPr>
                <w:rFonts w:ascii="Arial" w:hAnsi="Arial" w:cs="Arial"/>
                <w:sz w:val="16"/>
                <w:szCs w:val="16"/>
              </w:rPr>
              <w:t>Per cent of GDP </w:t>
            </w:r>
          </w:p>
        </w:tc>
        <w:tc>
          <w:tcPr>
            <w:tcW w:w="502" w:type="pct"/>
            <w:tcBorders>
              <w:top w:val="nil"/>
              <w:left w:val="nil"/>
              <w:bottom w:val="single" w:sz="4" w:space="0" w:color="auto"/>
              <w:right w:val="nil"/>
            </w:tcBorders>
            <w:shd w:val="clear" w:color="000000" w:fill="FFFFFF"/>
            <w:noWrap/>
            <w:vAlign w:val="bottom"/>
            <w:hideMark/>
          </w:tcPr>
          <w:p w14:paraId="1908748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25.3</w:t>
            </w:r>
          </w:p>
        </w:tc>
        <w:tc>
          <w:tcPr>
            <w:tcW w:w="61" w:type="pct"/>
            <w:tcBorders>
              <w:top w:val="nil"/>
              <w:left w:val="nil"/>
              <w:bottom w:val="single" w:sz="4" w:space="0" w:color="auto"/>
              <w:right w:val="nil"/>
            </w:tcBorders>
            <w:shd w:val="clear" w:color="000000" w:fill="FFFFFF"/>
            <w:noWrap/>
            <w:vAlign w:val="center"/>
            <w:hideMark/>
          </w:tcPr>
          <w:p w14:paraId="746BD481"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 </w:t>
            </w:r>
          </w:p>
        </w:tc>
        <w:tc>
          <w:tcPr>
            <w:tcW w:w="493" w:type="pct"/>
            <w:tcBorders>
              <w:top w:val="nil"/>
              <w:left w:val="nil"/>
              <w:bottom w:val="single" w:sz="4" w:space="0" w:color="auto"/>
              <w:right w:val="nil"/>
            </w:tcBorders>
            <w:shd w:val="clear" w:color="000000" w:fill="FFFFFF"/>
            <w:noWrap/>
            <w:vAlign w:val="bottom"/>
            <w:hideMark/>
          </w:tcPr>
          <w:p w14:paraId="67C45B29"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25.0</w:t>
            </w:r>
          </w:p>
        </w:tc>
        <w:tc>
          <w:tcPr>
            <w:tcW w:w="539" w:type="pct"/>
            <w:tcBorders>
              <w:top w:val="nil"/>
              <w:left w:val="nil"/>
              <w:bottom w:val="single" w:sz="4" w:space="0" w:color="auto"/>
              <w:right w:val="nil"/>
            </w:tcBorders>
            <w:shd w:val="clear" w:color="000000" w:fill="E6F2FF"/>
            <w:noWrap/>
            <w:vAlign w:val="bottom"/>
            <w:hideMark/>
          </w:tcPr>
          <w:p w14:paraId="72EA2F4C"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25.9</w:t>
            </w:r>
          </w:p>
        </w:tc>
        <w:tc>
          <w:tcPr>
            <w:tcW w:w="493" w:type="pct"/>
            <w:tcBorders>
              <w:top w:val="nil"/>
              <w:left w:val="nil"/>
              <w:bottom w:val="single" w:sz="4" w:space="0" w:color="auto"/>
              <w:right w:val="nil"/>
            </w:tcBorders>
            <w:shd w:val="clear" w:color="000000" w:fill="FFFFFF"/>
            <w:noWrap/>
            <w:vAlign w:val="bottom"/>
            <w:hideMark/>
          </w:tcPr>
          <w:p w14:paraId="1D257D08"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25.4</w:t>
            </w:r>
          </w:p>
        </w:tc>
        <w:tc>
          <w:tcPr>
            <w:tcW w:w="493" w:type="pct"/>
            <w:tcBorders>
              <w:top w:val="nil"/>
              <w:left w:val="nil"/>
              <w:bottom w:val="single" w:sz="4" w:space="0" w:color="auto"/>
              <w:right w:val="nil"/>
            </w:tcBorders>
            <w:shd w:val="clear" w:color="000000" w:fill="FFFFFF"/>
            <w:noWrap/>
            <w:vAlign w:val="bottom"/>
            <w:hideMark/>
          </w:tcPr>
          <w:p w14:paraId="423A70A6"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25.2</w:t>
            </w:r>
          </w:p>
        </w:tc>
        <w:tc>
          <w:tcPr>
            <w:tcW w:w="493" w:type="pct"/>
            <w:tcBorders>
              <w:top w:val="nil"/>
              <w:left w:val="nil"/>
              <w:bottom w:val="single" w:sz="4" w:space="0" w:color="auto"/>
              <w:right w:val="nil"/>
            </w:tcBorders>
            <w:shd w:val="clear" w:color="000000" w:fill="FFFFFF"/>
            <w:noWrap/>
            <w:vAlign w:val="bottom"/>
            <w:hideMark/>
          </w:tcPr>
          <w:p w14:paraId="57007ADA" w14:textId="77777777" w:rsidR="00C55AFA" w:rsidRPr="00966BD4" w:rsidRDefault="00C55AFA" w:rsidP="00C55AFA">
            <w:pPr>
              <w:spacing w:before="0" w:after="0" w:line="240" w:lineRule="auto"/>
              <w:jc w:val="right"/>
              <w:rPr>
                <w:rFonts w:ascii="Arial" w:hAnsi="Arial" w:cs="Arial"/>
                <w:sz w:val="16"/>
                <w:szCs w:val="16"/>
              </w:rPr>
            </w:pPr>
            <w:r w:rsidRPr="00966BD4">
              <w:rPr>
                <w:rFonts w:ascii="Arial" w:hAnsi="Arial" w:cs="Arial"/>
                <w:sz w:val="16"/>
                <w:szCs w:val="16"/>
              </w:rPr>
              <w:t>25.2</w:t>
            </w:r>
          </w:p>
        </w:tc>
      </w:tr>
    </w:tbl>
    <w:p w14:paraId="615DE3E1" w14:textId="11D5AD3A" w:rsidR="00D907F8" w:rsidRPr="00966BD4" w:rsidRDefault="00D907F8" w:rsidP="00774E24">
      <w:pPr>
        <w:pStyle w:val="TableTextLeft"/>
      </w:pPr>
    </w:p>
    <w:p w14:paraId="29F6E4B2" w14:textId="3F81B2A4" w:rsidR="009E7E28" w:rsidRPr="00966BD4" w:rsidRDefault="00067A08" w:rsidP="0056195C">
      <w:pPr>
        <w:pStyle w:val="Heading3"/>
      </w:pPr>
      <w:bookmarkStart w:id="5" w:name="_Toc134182345"/>
      <w:bookmarkStart w:id="6" w:name="_Toc99201819"/>
      <w:bookmarkStart w:id="7" w:name="_Toc117324546"/>
      <w:r w:rsidRPr="00966BD4">
        <w:t>Current year t</w:t>
      </w:r>
      <w:r w:rsidR="009E7E28" w:rsidRPr="00966BD4">
        <w:t>ax collections</w:t>
      </w:r>
      <w:bookmarkEnd w:id="5"/>
    </w:p>
    <w:p w14:paraId="0AE58667" w14:textId="18D486AE" w:rsidR="00FF6FD3" w:rsidRPr="00966BD4" w:rsidRDefault="00463086" w:rsidP="00774E24">
      <w:r w:rsidRPr="00966BD4">
        <w:t xml:space="preserve">Tax collections </w:t>
      </w:r>
      <w:r w:rsidR="005E146B" w:rsidRPr="00966BD4">
        <w:t xml:space="preserve">for </w:t>
      </w:r>
      <w:r w:rsidRPr="00966BD4">
        <w:t>2022</w:t>
      </w:r>
      <w:r w:rsidR="00FD24CE" w:rsidRPr="00966BD4">
        <w:t>–</w:t>
      </w:r>
      <w:r w:rsidRPr="00966BD4">
        <w:t>23 continue</w:t>
      </w:r>
      <w:r w:rsidR="00025774" w:rsidRPr="00966BD4">
        <w:t xml:space="preserve"> to </w:t>
      </w:r>
      <w:r w:rsidR="0026604B" w:rsidRPr="00966BD4">
        <w:t>be higher</w:t>
      </w:r>
      <w:r w:rsidR="001B77CF">
        <w:noBreakHyphen/>
      </w:r>
      <w:r w:rsidR="0026604B" w:rsidRPr="00966BD4">
        <w:t>than</w:t>
      </w:r>
      <w:r w:rsidR="001B77CF">
        <w:noBreakHyphen/>
      </w:r>
      <w:r w:rsidR="0026604B" w:rsidRPr="00966BD4">
        <w:t>anticipated</w:t>
      </w:r>
      <w:r w:rsidR="0022206D" w:rsidRPr="00966BD4" w:rsidDel="006F4FFB">
        <w:t xml:space="preserve"> (Chart 5.</w:t>
      </w:r>
      <w:r w:rsidR="007610EB" w:rsidRPr="00966BD4">
        <w:t>1</w:t>
      </w:r>
      <w:r w:rsidR="0022206D" w:rsidRPr="00966BD4" w:rsidDel="006F4FFB">
        <w:t>)</w:t>
      </w:r>
      <w:r w:rsidR="0022206D" w:rsidRPr="00966BD4">
        <w:t>.</w:t>
      </w:r>
      <w:r w:rsidR="00506B61" w:rsidRPr="00966BD4">
        <w:t xml:space="preserve"> </w:t>
      </w:r>
      <w:r w:rsidR="0022206D" w:rsidRPr="00966BD4">
        <w:t>T</w:t>
      </w:r>
      <w:r w:rsidR="005F742E" w:rsidRPr="00966BD4">
        <w:t xml:space="preserve">ax receipts to March 2023 </w:t>
      </w:r>
      <w:r w:rsidR="0022206D" w:rsidRPr="00966BD4">
        <w:t xml:space="preserve">are </w:t>
      </w:r>
      <w:r w:rsidR="005F742E" w:rsidRPr="00966BD4">
        <w:t>$</w:t>
      </w:r>
      <w:r w:rsidR="00550F69" w:rsidRPr="00966BD4">
        <w:t>13</w:t>
      </w:r>
      <w:r w:rsidR="002A6733" w:rsidRPr="00966BD4">
        <w:t>.0</w:t>
      </w:r>
      <w:r w:rsidR="005F742E" w:rsidRPr="00966BD4">
        <w:t xml:space="preserve"> billion higher</w:t>
      </w:r>
      <w:r w:rsidR="001B77CF">
        <w:noBreakHyphen/>
      </w:r>
      <w:r w:rsidR="005F742E" w:rsidRPr="00966BD4">
        <w:t>than</w:t>
      </w:r>
      <w:r w:rsidR="001B77CF">
        <w:noBreakHyphen/>
      </w:r>
      <w:r w:rsidR="005F742E" w:rsidRPr="00966BD4">
        <w:t xml:space="preserve">expected at the October Budget. </w:t>
      </w:r>
      <w:r w:rsidR="00133528" w:rsidRPr="00966BD4">
        <w:t xml:space="preserve">This strength is predominantly in </w:t>
      </w:r>
      <w:r w:rsidR="002D4459" w:rsidRPr="00966BD4">
        <w:t xml:space="preserve">company tax and personal income </w:t>
      </w:r>
      <w:r w:rsidR="003D6D45" w:rsidRPr="00966BD4">
        <w:t>tax</w:t>
      </w:r>
      <w:r w:rsidR="00D86CF6" w:rsidRPr="00966BD4">
        <w:t xml:space="preserve">, </w:t>
      </w:r>
      <w:r w:rsidR="006B2BD3" w:rsidRPr="00966BD4">
        <w:t>partly offset by weakness in superannuation fund tax</w:t>
      </w:r>
      <w:r w:rsidR="00AB0919">
        <w:t>es</w:t>
      </w:r>
      <w:r w:rsidR="006B2BD3" w:rsidRPr="00966BD4">
        <w:t xml:space="preserve"> and</w:t>
      </w:r>
      <w:r w:rsidR="00603E92" w:rsidRPr="00966BD4">
        <w:t>, to a lesser extent,</w:t>
      </w:r>
      <w:r w:rsidR="006B2BD3" w:rsidRPr="00966BD4">
        <w:t xml:space="preserve"> GST. </w:t>
      </w:r>
    </w:p>
    <w:p w14:paraId="66C657B8" w14:textId="05E87AC9" w:rsidR="00C2480C" w:rsidRPr="00966BD4" w:rsidRDefault="00E53E0E" w:rsidP="00774E24">
      <w:r w:rsidRPr="00966BD4">
        <w:t>P</w:t>
      </w:r>
      <w:r w:rsidR="00E05F0C" w:rsidRPr="00966BD4">
        <w:t xml:space="preserve">ersonal income tax collections </w:t>
      </w:r>
      <w:r w:rsidR="00A5652E" w:rsidRPr="00966BD4">
        <w:t>to</w:t>
      </w:r>
      <w:r w:rsidR="008900AB" w:rsidRPr="00966BD4">
        <w:t xml:space="preserve"> March </w:t>
      </w:r>
      <w:r w:rsidR="00F167E0" w:rsidRPr="00966BD4">
        <w:t xml:space="preserve">were around </w:t>
      </w:r>
      <w:r w:rsidR="00AA0138" w:rsidRPr="00966BD4">
        <w:t>$</w:t>
      </w:r>
      <w:r w:rsidR="007735D8" w:rsidRPr="00966BD4">
        <w:t>7</w:t>
      </w:r>
      <w:r w:rsidR="009C680F" w:rsidRPr="00966BD4">
        <w:t>.</w:t>
      </w:r>
      <w:r w:rsidR="007735D8" w:rsidRPr="00966BD4">
        <w:t>1</w:t>
      </w:r>
      <w:r w:rsidR="00AA0138" w:rsidRPr="00966BD4">
        <w:t xml:space="preserve"> billion (</w:t>
      </w:r>
      <w:r w:rsidR="00A308F1" w:rsidRPr="00966BD4">
        <w:t xml:space="preserve">or </w:t>
      </w:r>
      <w:r w:rsidR="00167911" w:rsidRPr="00966BD4">
        <w:t>3.6</w:t>
      </w:r>
      <w:r w:rsidR="00AA0138" w:rsidRPr="00966BD4">
        <w:t xml:space="preserve"> per cent) higher</w:t>
      </w:r>
      <w:r w:rsidR="001B77CF">
        <w:noBreakHyphen/>
      </w:r>
      <w:r w:rsidR="00AA0138" w:rsidRPr="00966BD4">
        <w:t>than</w:t>
      </w:r>
      <w:r w:rsidR="001B77CF">
        <w:noBreakHyphen/>
      </w:r>
      <w:r w:rsidR="00AA0138" w:rsidRPr="00966BD4">
        <w:t xml:space="preserve">expected at the October </w:t>
      </w:r>
      <w:r w:rsidR="008E382D" w:rsidRPr="00966BD4">
        <w:t>B</w:t>
      </w:r>
      <w:r w:rsidR="00AA0138" w:rsidRPr="00966BD4">
        <w:t>udget</w:t>
      </w:r>
      <w:r w:rsidR="00CA6726" w:rsidRPr="00966BD4">
        <w:t xml:space="preserve">, supported by </w:t>
      </w:r>
      <w:r w:rsidR="00292612" w:rsidRPr="00966BD4">
        <w:t>higher employment, a pick</w:t>
      </w:r>
      <w:r w:rsidR="001B77CF">
        <w:noBreakHyphen/>
      </w:r>
      <w:r w:rsidR="00292612" w:rsidRPr="00966BD4">
        <w:t xml:space="preserve">up in wages growth </w:t>
      </w:r>
      <w:r w:rsidR="00793158" w:rsidRPr="00966BD4">
        <w:t xml:space="preserve">and </w:t>
      </w:r>
      <w:r w:rsidR="003F392C" w:rsidRPr="00966BD4">
        <w:t>high net capital gains</w:t>
      </w:r>
      <w:r w:rsidR="00793158" w:rsidRPr="00966BD4">
        <w:t xml:space="preserve"> and</w:t>
      </w:r>
      <w:r w:rsidR="003F392C" w:rsidRPr="00966BD4">
        <w:t xml:space="preserve"> net rent from prior year returns</w:t>
      </w:r>
      <w:r w:rsidR="003A324D" w:rsidRPr="00966BD4">
        <w:t>.</w:t>
      </w:r>
      <w:r w:rsidR="00AA3203" w:rsidRPr="00966BD4">
        <w:t xml:space="preserve"> Company tax collections to March were around $7.6 billion (or 8.5 per cent) higher</w:t>
      </w:r>
      <w:r w:rsidR="001B77CF">
        <w:noBreakHyphen/>
      </w:r>
      <w:r w:rsidR="00AA3203" w:rsidRPr="00966BD4">
        <w:t>than</w:t>
      </w:r>
      <w:r w:rsidR="001B77CF">
        <w:noBreakHyphen/>
      </w:r>
      <w:r w:rsidR="00AA3203" w:rsidRPr="00966BD4">
        <w:t>expected at the October Budget, reflecting consistently higher commodity prices and profits in the mining sector, and strong instalment payments from the non</w:t>
      </w:r>
      <w:r w:rsidR="001B77CF">
        <w:noBreakHyphen/>
      </w:r>
      <w:r w:rsidR="00AA3203" w:rsidRPr="00966BD4">
        <w:t>financial sector due to higher turnover.</w:t>
      </w:r>
    </w:p>
    <w:p w14:paraId="46DF3D85" w14:textId="526DFE89" w:rsidR="00C2480C" w:rsidRPr="00966BD4" w:rsidRDefault="00793158" w:rsidP="00774E24">
      <w:r w:rsidRPr="00966BD4">
        <w:t>Superannuation fund tax</w:t>
      </w:r>
      <w:r w:rsidR="00755F05" w:rsidRPr="00966BD4">
        <w:t>es</w:t>
      </w:r>
      <w:r w:rsidR="00321FDC" w:rsidRPr="00966BD4">
        <w:t xml:space="preserve"> collections to March were around</w:t>
      </w:r>
      <w:r w:rsidR="002A3427" w:rsidRPr="00966BD4">
        <w:t xml:space="preserve"> </w:t>
      </w:r>
      <w:r w:rsidR="00E103CE" w:rsidRPr="00966BD4">
        <w:t>$</w:t>
      </w:r>
      <w:r w:rsidR="002432C8" w:rsidRPr="00966BD4">
        <w:t>2</w:t>
      </w:r>
      <w:r w:rsidR="009C680F" w:rsidRPr="00966BD4">
        <w:t>.</w:t>
      </w:r>
      <w:r w:rsidR="001747CE" w:rsidRPr="00966BD4">
        <w:t>0</w:t>
      </w:r>
      <w:r w:rsidR="00E103CE" w:rsidRPr="00966BD4">
        <w:t xml:space="preserve"> billion </w:t>
      </w:r>
      <w:r w:rsidR="00AA4417" w:rsidRPr="00966BD4">
        <w:t xml:space="preserve">(or </w:t>
      </w:r>
      <w:r w:rsidR="000C35BF" w:rsidRPr="00966BD4">
        <w:t>21</w:t>
      </w:r>
      <w:r w:rsidR="009C680F" w:rsidRPr="00966BD4">
        <w:t>.</w:t>
      </w:r>
      <w:r w:rsidR="000C35BF" w:rsidRPr="00966BD4">
        <w:t>5</w:t>
      </w:r>
      <w:r w:rsidR="00AA4417" w:rsidRPr="00966BD4">
        <w:t xml:space="preserve"> per cent) </w:t>
      </w:r>
      <w:r w:rsidR="00794219" w:rsidRPr="00966BD4">
        <w:t>lower</w:t>
      </w:r>
      <w:r w:rsidR="001B77CF">
        <w:noBreakHyphen/>
      </w:r>
      <w:r w:rsidR="00794219" w:rsidRPr="00966BD4">
        <w:t>than</w:t>
      </w:r>
      <w:r w:rsidR="001B77CF">
        <w:noBreakHyphen/>
      </w:r>
      <w:r w:rsidR="00794219" w:rsidRPr="00966BD4">
        <w:t xml:space="preserve">expected </w:t>
      </w:r>
      <w:r w:rsidR="00E7795B" w:rsidRPr="00966BD4">
        <w:t>at the October Budget</w:t>
      </w:r>
      <w:r w:rsidR="00C2480C" w:rsidRPr="00966BD4">
        <w:t xml:space="preserve">, reflecting lower </w:t>
      </w:r>
      <w:r w:rsidR="003D6D45" w:rsidRPr="00966BD4">
        <w:t>earnings and higher</w:t>
      </w:r>
      <w:r w:rsidR="001B77CF">
        <w:noBreakHyphen/>
      </w:r>
      <w:r w:rsidR="003D6D45" w:rsidRPr="00966BD4">
        <w:t>than</w:t>
      </w:r>
      <w:r w:rsidR="001B77CF">
        <w:noBreakHyphen/>
      </w:r>
      <w:r w:rsidR="003D6D45" w:rsidRPr="00966BD4">
        <w:t>expected refunds</w:t>
      </w:r>
      <w:r w:rsidR="00C2480C" w:rsidRPr="00966BD4">
        <w:t xml:space="preserve">. </w:t>
      </w:r>
    </w:p>
    <w:p w14:paraId="37652DAB" w14:textId="5C1C3FDB" w:rsidR="005456B8" w:rsidRPr="00966BD4" w:rsidRDefault="005456B8" w:rsidP="00497006">
      <w:pPr>
        <w:pStyle w:val="ChartHeading"/>
        <w:rPr>
          <w:rFonts w:eastAsiaTheme="minorHAnsi"/>
        </w:rPr>
      </w:pPr>
      <w:r w:rsidRPr="00966BD4">
        <w:lastRenderedPageBreak/>
        <w:t>Chart 5.</w:t>
      </w:r>
      <w:r w:rsidR="00143E37" w:rsidRPr="00966BD4">
        <w:t>1</w:t>
      </w:r>
      <w:r w:rsidRPr="00966BD4">
        <w:t xml:space="preserve">: Tax collections since </w:t>
      </w:r>
      <w:r w:rsidR="00EB6564" w:rsidRPr="00966BD4">
        <w:t>2022</w:t>
      </w:r>
      <w:r w:rsidR="001B77CF">
        <w:noBreakHyphen/>
      </w:r>
      <w:r w:rsidR="00EB6564" w:rsidRPr="00966BD4">
        <w:t xml:space="preserve">23 </w:t>
      </w:r>
      <w:r w:rsidR="00002E8D" w:rsidRPr="00966BD4">
        <w:t>October Budget</w:t>
      </w:r>
      <w:r w:rsidRPr="00966BD4">
        <w:t xml:space="preserve"> – deviations from expected collections by month and head of revenue</w:t>
      </w:r>
    </w:p>
    <w:p w14:paraId="3F95C77F" w14:textId="5DB55DA0" w:rsidR="005456B8" w:rsidRPr="00966BD4" w:rsidRDefault="00F14BE1" w:rsidP="00F354C1">
      <w:pPr>
        <w:pStyle w:val="ChartGraphic"/>
      </w:pPr>
      <w:r>
        <w:pict w14:anchorId="0B1C7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chart shows tax receipts collection deviations from the expected collections by month from November 2022 to March 2023, broken into company tax, personal income tax, superannuation fund taxes, GST and All other taxes. The deviations since the 2022-23 October Budget are driven by companies and personal income tax, which have both had strong results in the majority of months." style="width:381.5pt;height:237.5pt">
            <v:imagedata r:id="rId18" o:title=""/>
          </v:shape>
        </w:pict>
      </w:r>
    </w:p>
    <w:p w14:paraId="69DAD4EB" w14:textId="5826DDB7" w:rsidR="001E6E98" w:rsidRPr="00966BD4" w:rsidRDefault="001E6E98" w:rsidP="001E6E98">
      <w:pPr>
        <w:pStyle w:val="Source"/>
        <w:spacing w:after="0"/>
        <w:ind w:left="0" w:firstLine="0"/>
      </w:pPr>
      <w:bookmarkStart w:id="8" w:name="_Toc134182346"/>
      <w:r w:rsidRPr="00966BD4">
        <w:t xml:space="preserve">Source:  </w:t>
      </w:r>
      <w:r w:rsidRPr="00966BD4">
        <w:tab/>
        <w:t>Treasury</w:t>
      </w:r>
    </w:p>
    <w:p w14:paraId="6BF78339" w14:textId="77777777" w:rsidR="0039119D" w:rsidRPr="00966BD4" w:rsidRDefault="0039119D" w:rsidP="00E149B8">
      <w:pPr>
        <w:pStyle w:val="ChartLine"/>
      </w:pPr>
    </w:p>
    <w:p w14:paraId="2FBB2DF0" w14:textId="4CA4DE78" w:rsidR="00D907F8" w:rsidRPr="00966BD4" w:rsidRDefault="00D907F8" w:rsidP="00D907F8">
      <w:pPr>
        <w:pStyle w:val="Heading3"/>
      </w:pPr>
      <w:r w:rsidRPr="00966BD4">
        <w:t>Tax receipts outlook</w:t>
      </w:r>
      <w:bookmarkEnd w:id="6"/>
      <w:bookmarkEnd w:id="7"/>
      <w:bookmarkEnd w:id="8"/>
    </w:p>
    <w:p w14:paraId="0A7C7A44" w14:textId="4D77AE0D" w:rsidR="00D907F8" w:rsidRPr="00966BD4" w:rsidRDefault="00D907F8" w:rsidP="00774E24">
      <w:r w:rsidRPr="00966BD4">
        <w:t xml:space="preserve">Relative to </w:t>
      </w:r>
      <w:r w:rsidR="00A22D93" w:rsidRPr="00966BD4">
        <w:t>the October Budget</w:t>
      </w:r>
      <w:r w:rsidRPr="00966BD4">
        <w:t>, tax receipts are forecast to be $</w:t>
      </w:r>
      <w:r w:rsidR="00F97A99" w:rsidRPr="00966BD4">
        <w:t>4</w:t>
      </w:r>
      <w:r w:rsidR="008C19C8" w:rsidRPr="00966BD4">
        <w:t>2.0</w:t>
      </w:r>
      <w:r w:rsidRPr="00966BD4">
        <w:t xml:space="preserve"> billion (or </w:t>
      </w:r>
      <w:r w:rsidR="00F97A99" w:rsidRPr="00966BD4">
        <w:t>7.</w:t>
      </w:r>
      <w:r w:rsidR="001F635F" w:rsidRPr="00966BD4">
        <w:t>3</w:t>
      </w:r>
      <w:r w:rsidRPr="00966BD4">
        <w:t> per cent) higher in 202</w:t>
      </w:r>
      <w:r w:rsidR="00F32EC9" w:rsidRPr="00966BD4">
        <w:t>3</w:t>
      </w:r>
      <w:r w:rsidRPr="00966BD4">
        <w:t>–</w:t>
      </w:r>
      <w:r w:rsidR="007756CD" w:rsidRPr="00966BD4">
        <w:t>2</w:t>
      </w:r>
      <w:r w:rsidR="00F32EC9" w:rsidRPr="00966BD4">
        <w:t>4</w:t>
      </w:r>
      <w:r w:rsidRPr="00966BD4">
        <w:t>, and $</w:t>
      </w:r>
      <w:r w:rsidR="00C417E3" w:rsidRPr="00966BD4">
        <w:t>13</w:t>
      </w:r>
      <w:r w:rsidR="001F635F" w:rsidRPr="00966BD4">
        <w:t>4.8</w:t>
      </w:r>
      <w:r w:rsidRPr="00966BD4">
        <w:t xml:space="preserve"> billion (or </w:t>
      </w:r>
      <w:r w:rsidR="00FF061F" w:rsidRPr="00966BD4">
        <w:t>4.</w:t>
      </w:r>
      <w:r w:rsidR="001F635F" w:rsidRPr="00966BD4">
        <w:t>5</w:t>
      </w:r>
      <w:r w:rsidRPr="00966BD4">
        <w:t xml:space="preserve"> per cent) higher over the </w:t>
      </w:r>
      <w:r w:rsidR="001770FA" w:rsidRPr="00966BD4">
        <w:t>5</w:t>
      </w:r>
      <w:r w:rsidRPr="00966BD4">
        <w:t xml:space="preserve"> years </w:t>
      </w:r>
      <w:r w:rsidR="003F134D" w:rsidRPr="00966BD4">
        <w:t xml:space="preserve">from </w:t>
      </w:r>
      <w:r w:rsidR="00B76FAC">
        <w:br/>
      </w:r>
      <w:r w:rsidR="003F134D" w:rsidRPr="00966BD4">
        <w:t>2022</w:t>
      </w:r>
      <w:r w:rsidR="00AB0356" w:rsidRPr="00966BD4">
        <w:t>–</w:t>
      </w:r>
      <w:r w:rsidR="003F134D" w:rsidRPr="00966BD4">
        <w:t xml:space="preserve">23 </w:t>
      </w:r>
      <w:r w:rsidRPr="00966BD4">
        <w:t>to 202</w:t>
      </w:r>
      <w:r w:rsidR="00F32EC9" w:rsidRPr="00966BD4">
        <w:t>6</w:t>
      </w:r>
      <w:r w:rsidRPr="00966BD4">
        <w:t>–2</w:t>
      </w:r>
      <w:r w:rsidR="00F32EC9" w:rsidRPr="00966BD4">
        <w:t>7</w:t>
      </w:r>
      <w:r w:rsidRPr="00966BD4">
        <w:t xml:space="preserve">. </w:t>
      </w:r>
      <w:r w:rsidR="00206D83" w:rsidRPr="00966BD4">
        <w:t>T</w:t>
      </w:r>
      <w:r w:rsidR="00936056" w:rsidRPr="00966BD4">
        <w:t xml:space="preserve">his upgrade </w:t>
      </w:r>
      <w:r w:rsidR="00902688" w:rsidRPr="00966BD4">
        <w:t xml:space="preserve">reflects a </w:t>
      </w:r>
      <w:r w:rsidR="002309BF" w:rsidRPr="00966BD4">
        <w:t xml:space="preserve">stronger </w:t>
      </w:r>
      <w:r w:rsidR="006D5806" w:rsidRPr="00966BD4">
        <w:t xml:space="preserve">outlook for </w:t>
      </w:r>
      <w:r w:rsidR="002F5C8E" w:rsidRPr="00966BD4">
        <w:t xml:space="preserve">personal income tax </w:t>
      </w:r>
      <w:r w:rsidR="00B76FAC">
        <w:br/>
      </w:r>
      <w:r w:rsidR="002F5C8E" w:rsidRPr="00966BD4">
        <w:t xml:space="preserve">and </w:t>
      </w:r>
      <w:r w:rsidR="00C71E7A" w:rsidRPr="00966BD4">
        <w:t>company tax.</w:t>
      </w:r>
    </w:p>
    <w:p w14:paraId="457C71AD" w14:textId="035D0E68" w:rsidR="00A81B7C" w:rsidRPr="00966BD4" w:rsidRDefault="00854E84" w:rsidP="00774E24">
      <w:r w:rsidRPr="00966BD4">
        <w:t>Personal income taxes</w:t>
      </w:r>
      <w:r w:rsidR="00B152CB" w:rsidRPr="00966BD4">
        <w:t xml:space="preserve"> </w:t>
      </w:r>
      <w:r w:rsidR="005818DC" w:rsidRPr="00966BD4">
        <w:t>have</w:t>
      </w:r>
      <w:r w:rsidR="00B152CB" w:rsidRPr="00966BD4">
        <w:t xml:space="preserve"> been </w:t>
      </w:r>
      <w:r w:rsidR="0043753D" w:rsidRPr="00966BD4">
        <w:t>revised up by $</w:t>
      </w:r>
      <w:r w:rsidR="001615B4" w:rsidRPr="00966BD4">
        <w:t>1</w:t>
      </w:r>
      <w:r w:rsidR="009449B1" w:rsidRPr="00966BD4">
        <w:t>5.</w:t>
      </w:r>
      <w:r w:rsidR="00AD238B" w:rsidRPr="00966BD4">
        <w:t>0</w:t>
      </w:r>
      <w:r w:rsidR="0043753D" w:rsidRPr="00966BD4">
        <w:t xml:space="preserve"> billion in 2023</w:t>
      </w:r>
      <w:r w:rsidR="00FD24CE" w:rsidRPr="00966BD4">
        <w:t>–</w:t>
      </w:r>
      <w:r w:rsidR="0043753D" w:rsidRPr="00966BD4">
        <w:t>24 and $</w:t>
      </w:r>
      <w:r w:rsidR="00BA73A5" w:rsidRPr="00966BD4">
        <w:t>7</w:t>
      </w:r>
      <w:r w:rsidR="00FF7B1C" w:rsidRPr="00966BD4">
        <w:t>4.1</w:t>
      </w:r>
      <w:r w:rsidR="0043753D" w:rsidRPr="00966BD4">
        <w:t xml:space="preserve"> billion over the 5 years </w:t>
      </w:r>
      <w:r w:rsidR="009C19DF" w:rsidRPr="00966BD4">
        <w:t>from 2022</w:t>
      </w:r>
      <w:r w:rsidR="00AB0356" w:rsidRPr="00966BD4">
        <w:t>–</w:t>
      </w:r>
      <w:r w:rsidR="009C19DF" w:rsidRPr="00966BD4">
        <w:t xml:space="preserve">23 </w:t>
      </w:r>
      <w:r w:rsidR="0043753D" w:rsidRPr="00966BD4">
        <w:t>to 2026</w:t>
      </w:r>
      <w:r w:rsidR="00FD24CE" w:rsidRPr="00966BD4">
        <w:t>–</w:t>
      </w:r>
      <w:r w:rsidR="0043753D" w:rsidRPr="00966BD4">
        <w:t>27. This</w:t>
      </w:r>
      <w:r w:rsidR="00A86DE3" w:rsidRPr="00966BD4">
        <w:t xml:space="preserve"> principally</w:t>
      </w:r>
      <w:r w:rsidR="0043753D" w:rsidRPr="00966BD4">
        <w:t xml:space="preserve"> reflects </w:t>
      </w:r>
      <w:r w:rsidR="00347144" w:rsidRPr="00966BD4">
        <w:t xml:space="preserve">strength in </w:t>
      </w:r>
      <w:r w:rsidR="0092483B" w:rsidRPr="00966BD4">
        <w:t xml:space="preserve">tax withholding </w:t>
      </w:r>
      <w:r w:rsidR="00B95401" w:rsidRPr="00966BD4">
        <w:t>from salar</w:t>
      </w:r>
      <w:r w:rsidR="004A3CA6" w:rsidRPr="00966BD4">
        <w:t>y</w:t>
      </w:r>
      <w:r w:rsidR="00B95401" w:rsidRPr="00966BD4">
        <w:t xml:space="preserve"> and wage</w:t>
      </w:r>
      <w:r w:rsidR="00C55B42" w:rsidRPr="00966BD4">
        <w:t>s</w:t>
      </w:r>
      <w:r w:rsidR="00B95401" w:rsidRPr="00966BD4">
        <w:t xml:space="preserve">, </w:t>
      </w:r>
      <w:r w:rsidR="00E128D1" w:rsidRPr="00966BD4">
        <w:t>supported by</w:t>
      </w:r>
      <w:r w:rsidR="009F58B1" w:rsidRPr="00966BD4">
        <w:t xml:space="preserve"> high levels of employment and a large</w:t>
      </w:r>
      <w:r w:rsidR="00ED0FDB" w:rsidRPr="00966BD4">
        <w:t xml:space="preserve">r </w:t>
      </w:r>
      <w:r w:rsidR="009F58B1" w:rsidRPr="00966BD4">
        <w:t>labo</w:t>
      </w:r>
      <w:r w:rsidR="003C1AF3" w:rsidRPr="00966BD4">
        <w:t>u</w:t>
      </w:r>
      <w:r w:rsidR="009F58B1" w:rsidRPr="00966BD4">
        <w:t>r force</w:t>
      </w:r>
      <w:r w:rsidR="004544EE" w:rsidRPr="00966BD4">
        <w:t>, which is expected to continue across the forward estimates</w:t>
      </w:r>
      <w:r w:rsidR="00DF3D98" w:rsidRPr="00966BD4">
        <w:t>.</w:t>
      </w:r>
      <w:r w:rsidR="000B41D0" w:rsidRPr="00966BD4">
        <w:t xml:space="preserve"> I</w:t>
      </w:r>
      <w:r w:rsidR="00750AED" w:rsidRPr="00966BD4">
        <w:t>n 2022</w:t>
      </w:r>
      <w:r w:rsidR="00AB0356" w:rsidRPr="00966BD4">
        <w:t>–</w:t>
      </w:r>
      <w:r w:rsidR="00750AED" w:rsidRPr="00966BD4">
        <w:t>23 it</w:t>
      </w:r>
      <w:r w:rsidR="000B41D0" w:rsidRPr="00966BD4" w:rsidDel="00750AED">
        <w:t xml:space="preserve"> </w:t>
      </w:r>
      <w:r w:rsidR="00B76FAC">
        <w:br/>
      </w:r>
      <w:r w:rsidR="000B41D0" w:rsidRPr="00966BD4">
        <w:t>also reflects</w:t>
      </w:r>
      <w:r w:rsidR="00787570" w:rsidRPr="00966BD4">
        <w:t xml:space="preserve"> </w:t>
      </w:r>
      <w:r w:rsidR="00700A7E" w:rsidRPr="00966BD4">
        <w:t xml:space="preserve">higher </w:t>
      </w:r>
      <w:r w:rsidR="001D4489" w:rsidRPr="00966BD4">
        <w:t>than expected income</w:t>
      </w:r>
      <w:r w:rsidR="00700A7E" w:rsidRPr="00966BD4">
        <w:t xml:space="preserve"> </w:t>
      </w:r>
      <w:r w:rsidR="009C0CB7" w:rsidRPr="00966BD4">
        <w:t xml:space="preserve">from </w:t>
      </w:r>
      <w:r w:rsidR="00592A8D" w:rsidRPr="00966BD4">
        <w:t xml:space="preserve">previous </w:t>
      </w:r>
      <w:r w:rsidR="00B72A34" w:rsidRPr="00966BD4">
        <w:t>years</w:t>
      </w:r>
      <w:r w:rsidR="00E65B6C" w:rsidRPr="00966BD4">
        <w:t xml:space="preserve"> </w:t>
      </w:r>
      <w:r w:rsidR="00B55EB4" w:rsidRPr="00966BD4">
        <w:t>increasing on</w:t>
      </w:r>
      <w:r w:rsidR="001B77CF">
        <w:noBreakHyphen/>
      </w:r>
      <w:r w:rsidR="00B55EB4" w:rsidRPr="00966BD4">
        <w:t xml:space="preserve">assessment payments </w:t>
      </w:r>
      <w:r w:rsidR="00812E5D" w:rsidRPr="00966BD4">
        <w:t>(</w:t>
      </w:r>
      <w:r w:rsidR="00C3269C" w:rsidRPr="00966BD4">
        <w:t xml:space="preserve">in particular, </w:t>
      </w:r>
      <w:r w:rsidR="00812E5D" w:rsidRPr="00966BD4">
        <w:t>capital gains from the sale of properties in 2021</w:t>
      </w:r>
      <w:r w:rsidR="00AB0356" w:rsidRPr="00966BD4">
        <w:t>–</w:t>
      </w:r>
      <w:r w:rsidR="00812E5D" w:rsidRPr="00966BD4">
        <w:t xml:space="preserve">22) </w:t>
      </w:r>
      <w:r w:rsidR="00E65B6C" w:rsidRPr="00966BD4">
        <w:t>and</w:t>
      </w:r>
      <w:r w:rsidR="00484A11" w:rsidRPr="00966BD4">
        <w:t xml:space="preserve"> </w:t>
      </w:r>
      <w:r w:rsidR="00A43212" w:rsidRPr="00966BD4">
        <w:t xml:space="preserve">upward revisions to </w:t>
      </w:r>
      <w:r w:rsidR="00DA16CC" w:rsidRPr="00966BD4">
        <w:t xml:space="preserve">the outlook for </w:t>
      </w:r>
      <w:r w:rsidR="00113F2E" w:rsidRPr="00966BD4">
        <w:t>non</w:t>
      </w:r>
      <w:r w:rsidR="001B77CF">
        <w:noBreakHyphen/>
      </w:r>
      <w:r w:rsidR="00113F2E" w:rsidRPr="00966BD4">
        <w:t>farm gross mixed income</w:t>
      </w:r>
      <w:r w:rsidR="00113F2E" w:rsidRPr="00966BD4" w:rsidDel="00113F2E">
        <w:t xml:space="preserve"> </w:t>
      </w:r>
      <w:r w:rsidR="00113F2E" w:rsidRPr="00966BD4">
        <w:t>and</w:t>
      </w:r>
      <w:r w:rsidR="002C2647" w:rsidRPr="00966BD4">
        <w:t xml:space="preserve"> </w:t>
      </w:r>
      <w:r w:rsidR="00927223" w:rsidRPr="00966BD4">
        <w:t xml:space="preserve">property income </w:t>
      </w:r>
      <w:r w:rsidR="00FE0B4E" w:rsidRPr="00966BD4">
        <w:t>(</w:t>
      </w:r>
      <w:r w:rsidR="0021652F" w:rsidRPr="00966BD4">
        <w:t xml:space="preserve">which includes </w:t>
      </w:r>
      <w:r w:rsidR="00FE0B4E" w:rsidRPr="00966BD4">
        <w:t>dividend</w:t>
      </w:r>
      <w:r w:rsidR="00CD00C1" w:rsidRPr="00966BD4">
        <w:t xml:space="preserve"> </w:t>
      </w:r>
      <w:r w:rsidR="00FE0B4E" w:rsidRPr="00966BD4">
        <w:t>and interest</w:t>
      </w:r>
      <w:r w:rsidR="00CD00C1" w:rsidRPr="00966BD4">
        <w:t xml:space="preserve"> income</w:t>
      </w:r>
      <w:r w:rsidR="00FE0B4E" w:rsidRPr="00966BD4">
        <w:t>)</w:t>
      </w:r>
      <w:r w:rsidR="00927223" w:rsidRPr="00966BD4">
        <w:t xml:space="preserve">. </w:t>
      </w:r>
    </w:p>
    <w:p w14:paraId="5A2F9BB6" w14:textId="2CDF4522" w:rsidR="001E1CCE" w:rsidRPr="00E0267E" w:rsidRDefault="00A81B7C" w:rsidP="00774E24">
      <w:r w:rsidRPr="00966BD4">
        <w:t xml:space="preserve">Company tax </w:t>
      </w:r>
      <w:r w:rsidR="00B7172F" w:rsidRPr="00966BD4">
        <w:t>has been revised up by $</w:t>
      </w:r>
      <w:r w:rsidR="008D2BAB" w:rsidRPr="00966BD4">
        <w:t>2</w:t>
      </w:r>
      <w:r w:rsidR="00EF412D" w:rsidRPr="00966BD4">
        <w:t>8.9</w:t>
      </w:r>
      <w:r w:rsidR="00B7172F" w:rsidRPr="00966BD4">
        <w:t xml:space="preserve"> billion in 2023</w:t>
      </w:r>
      <w:r w:rsidR="00FD24CE" w:rsidRPr="00966BD4">
        <w:t>–</w:t>
      </w:r>
      <w:r w:rsidR="00B7172F" w:rsidRPr="00966BD4">
        <w:t>24 and $</w:t>
      </w:r>
      <w:r w:rsidR="00E14BD4" w:rsidRPr="00966BD4">
        <w:t>5</w:t>
      </w:r>
      <w:r w:rsidR="00EF412D" w:rsidRPr="00966BD4">
        <w:t>2.7</w:t>
      </w:r>
      <w:r w:rsidR="00B7172F" w:rsidRPr="00966BD4">
        <w:t xml:space="preserve"> billion over the 5</w:t>
      </w:r>
      <w:r w:rsidR="00FD24CE" w:rsidRPr="00966BD4">
        <w:t> </w:t>
      </w:r>
      <w:r w:rsidR="00B7172F" w:rsidRPr="00966BD4">
        <w:t xml:space="preserve">years </w:t>
      </w:r>
      <w:r w:rsidR="008964A2" w:rsidRPr="00966BD4">
        <w:t>from 2022</w:t>
      </w:r>
      <w:r w:rsidR="00AB0356" w:rsidRPr="00966BD4">
        <w:t>–</w:t>
      </w:r>
      <w:r w:rsidR="008964A2" w:rsidRPr="00966BD4">
        <w:t xml:space="preserve">23 </w:t>
      </w:r>
      <w:r w:rsidR="00B7172F" w:rsidRPr="00966BD4">
        <w:t>to 2026</w:t>
      </w:r>
      <w:r w:rsidR="00FD24CE" w:rsidRPr="00966BD4">
        <w:t>–</w:t>
      </w:r>
      <w:r w:rsidR="00B7172F" w:rsidRPr="00966BD4">
        <w:t xml:space="preserve">27. </w:t>
      </w:r>
      <w:r w:rsidR="008158EF" w:rsidRPr="00966BD4">
        <w:t xml:space="preserve">This reflects </w:t>
      </w:r>
      <w:r w:rsidR="0013338A" w:rsidRPr="00966BD4">
        <w:t xml:space="preserve">elevated commodity prices and </w:t>
      </w:r>
      <w:r w:rsidR="00EE7758" w:rsidRPr="00966BD4">
        <w:t>an extension of the period over which commodity prices adjust to conservative</w:t>
      </w:r>
      <w:r w:rsidR="00F54FAB" w:rsidRPr="00966BD4">
        <w:t xml:space="preserve"> (</w:t>
      </w:r>
      <w:r w:rsidR="00EE7758" w:rsidRPr="00966BD4">
        <w:t>albeit higher</w:t>
      </w:r>
      <w:r w:rsidR="00F54FAB" w:rsidRPr="00966BD4">
        <w:t>)</w:t>
      </w:r>
      <w:r w:rsidR="00EE7758" w:rsidRPr="00966BD4">
        <w:t xml:space="preserve"> long</w:t>
      </w:r>
      <w:r w:rsidR="001B77CF">
        <w:noBreakHyphen/>
      </w:r>
      <w:r w:rsidR="00EE7758" w:rsidRPr="00966BD4">
        <w:t xml:space="preserve">term levels, </w:t>
      </w:r>
      <w:r w:rsidR="0033495E" w:rsidRPr="00966BD4">
        <w:t xml:space="preserve">strength in collections </w:t>
      </w:r>
      <w:r w:rsidR="00F05B89" w:rsidRPr="00966BD4">
        <w:t>and an improved outlook for</w:t>
      </w:r>
      <w:r w:rsidR="0033495E" w:rsidRPr="00966BD4">
        <w:t xml:space="preserve"> non</w:t>
      </w:r>
      <w:r w:rsidR="001B77CF">
        <w:noBreakHyphen/>
      </w:r>
      <w:r w:rsidR="0033495E" w:rsidRPr="00966BD4">
        <w:t>financial companies</w:t>
      </w:r>
      <w:r w:rsidR="00944AA3" w:rsidRPr="00966BD4">
        <w:t xml:space="preserve">. </w:t>
      </w:r>
    </w:p>
    <w:p w14:paraId="316245D3" w14:textId="248C13C5" w:rsidR="00D907F8" w:rsidRPr="00966BD4" w:rsidRDefault="00D907F8" w:rsidP="00774E24">
      <w:r w:rsidRPr="00966BD4">
        <w:t>Policy decisions in this Budget focus o</w:t>
      </w:r>
      <w:r w:rsidR="00750AED" w:rsidRPr="00966BD4">
        <w:t xml:space="preserve">n </w:t>
      </w:r>
      <w:r w:rsidR="00C908F2" w:rsidRPr="00966BD4">
        <w:t xml:space="preserve">reforms to make </w:t>
      </w:r>
      <w:r w:rsidR="00893411" w:rsidRPr="00966BD4">
        <w:t>the tax system</w:t>
      </w:r>
      <w:r w:rsidR="00C908F2" w:rsidRPr="00966BD4">
        <w:t xml:space="preserve"> fairer and more sustainable</w:t>
      </w:r>
      <w:r w:rsidR="0022531F">
        <w:t>,</w:t>
      </w:r>
      <w:r w:rsidR="00197F02" w:rsidRPr="00966BD4">
        <w:t xml:space="preserve"> </w:t>
      </w:r>
      <w:r w:rsidR="00AC3D61" w:rsidRPr="00966BD4">
        <w:t>policies to support small business and housing</w:t>
      </w:r>
      <w:r w:rsidR="0022531F">
        <w:t xml:space="preserve"> and measures to enhance </w:t>
      </w:r>
      <w:r w:rsidR="00F613BA">
        <w:br/>
      </w:r>
      <w:r w:rsidR="0022531F">
        <w:lastRenderedPageBreak/>
        <w:t>tax system compliance and integrity</w:t>
      </w:r>
      <w:r w:rsidR="005219BE" w:rsidRPr="00966BD4">
        <w:t xml:space="preserve">. </w:t>
      </w:r>
      <w:r w:rsidRPr="00966BD4">
        <w:t xml:space="preserve">Policy decisions taken since </w:t>
      </w:r>
      <w:r w:rsidR="00D71933" w:rsidRPr="00966BD4">
        <w:t>the October Budget</w:t>
      </w:r>
      <w:r w:rsidRPr="00966BD4">
        <w:t xml:space="preserve"> increase tax receipts by $</w:t>
      </w:r>
      <w:r w:rsidR="00062AF7" w:rsidRPr="00966BD4">
        <w:t>1.3</w:t>
      </w:r>
      <w:r w:rsidR="0072396E" w:rsidRPr="00966BD4">
        <w:t> </w:t>
      </w:r>
      <w:r w:rsidR="00062AF7" w:rsidRPr="00966BD4">
        <w:t>b</w:t>
      </w:r>
      <w:r w:rsidRPr="00966BD4">
        <w:t>illion in 202</w:t>
      </w:r>
      <w:r w:rsidR="003326AD" w:rsidRPr="00966BD4">
        <w:t>3</w:t>
      </w:r>
      <w:r w:rsidRPr="00966BD4">
        <w:t>–2</w:t>
      </w:r>
      <w:r w:rsidR="003326AD" w:rsidRPr="00966BD4">
        <w:t>4</w:t>
      </w:r>
      <w:r w:rsidRPr="00966BD4">
        <w:t xml:space="preserve"> and $</w:t>
      </w:r>
      <w:r w:rsidR="00062AF7" w:rsidRPr="00966BD4">
        <w:t>19.</w:t>
      </w:r>
      <w:r w:rsidR="002E5BC9" w:rsidRPr="00966BD4">
        <w:t>1</w:t>
      </w:r>
      <w:r w:rsidRPr="00966BD4">
        <w:t xml:space="preserve"> billion over the </w:t>
      </w:r>
      <w:r w:rsidR="00B80409" w:rsidRPr="00966BD4">
        <w:t>5</w:t>
      </w:r>
      <w:r w:rsidRPr="00966BD4">
        <w:t xml:space="preserve"> years </w:t>
      </w:r>
      <w:r w:rsidR="00747D2B" w:rsidRPr="00966BD4">
        <w:t xml:space="preserve">from </w:t>
      </w:r>
      <w:r w:rsidR="00B80409" w:rsidRPr="00966BD4">
        <w:br/>
      </w:r>
      <w:r w:rsidR="00825B55" w:rsidRPr="00966BD4">
        <w:t>202</w:t>
      </w:r>
      <w:r w:rsidR="008E07A2" w:rsidRPr="00966BD4">
        <w:t>2</w:t>
      </w:r>
      <w:r w:rsidR="00825B55" w:rsidRPr="00966BD4">
        <w:t>–2</w:t>
      </w:r>
      <w:r w:rsidR="00A65E5A" w:rsidRPr="00966BD4">
        <w:t>3</w:t>
      </w:r>
      <w:r w:rsidR="000346F0" w:rsidRPr="00966BD4">
        <w:t xml:space="preserve"> </w:t>
      </w:r>
      <w:r w:rsidRPr="00966BD4">
        <w:t>to 202</w:t>
      </w:r>
      <w:r w:rsidR="003326AD" w:rsidRPr="00966BD4">
        <w:t>6</w:t>
      </w:r>
      <w:r w:rsidR="00FD24CE" w:rsidRPr="00966BD4">
        <w:t>–</w:t>
      </w:r>
      <w:r w:rsidRPr="00966BD4">
        <w:t>2</w:t>
      </w:r>
      <w:r w:rsidR="003326AD" w:rsidRPr="00966BD4">
        <w:t>7</w:t>
      </w:r>
      <w:r w:rsidRPr="00966BD4">
        <w:t>. Key policy decisions include:</w:t>
      </w:r>
    </w:p>
    <w:p w14:paraId="790722E2" w14:textId="0804504D" w:rsidR="00867B0C" w:rsidRPr="00966BD4" w:rsidRDefault="00867B0C" w:rsidP="00774E24">
      <w:pPr>
        <w:pStyle w:val="Bullet"/>
        <w:rPr>
          <w:rFonts w:ascii="Calibri" w:hAnsi="Calibri"/>
          <w:i/>
          <w:sz w:val="22"/>
        </w:rPr>
      </w:pPr>
      <w:r w:rsidRPr="00966BD4">
        <w:rPr>
          <w:i/>
        </w:rPr>
        <w:t>GST compliance program</w:t>
      </w:r>
      <w:r w:rsidR="005D5169" w:rsidRPr="00966BD4">
        <w:rPr>
          <w:i/>
        </w:rPr>
        <w:t>—four</w:t>
      </w:r>
      <w:r w:rsidR="001B77CF">
        <w:rPr>
          <w:i/>
        </w:rPr>
        <w:noBreakHyphen/>
      </w:r>
      <w:r w:rsidR="005D5169" w:rsidRPr="00966BD4">
        <w:rPr>
          <w:i/>
        </w:rPr>
        <w:t>year extension</w:t>
      </w:r>
    </w:p>
    <w:p w14:paraId="21D23024" w14:textId="349B5B67" w:rsidR="00867B0C" w:rsidRPr="00966BD4" w:rsidRDefault="001D4354" w:rsidP="00774E24">
      <w:pPr>
        <w:pStyle w:val="Bullet"/>
        <w:rPr>
          <w:i/>
        </w:rPr>
      </w:pPr>
      <w:r w:rsidRPr="00966BD4">
        <w:rPr>
          <w:i/>
        </w:rPr>
        <w:t>To</w:t>
      </w:r>
      <w:r w:rsidR="00AD034A" w:rsidRPr="00966BD4">
        <w:rPr>
          <w:i/>
        </w:rPr>
        <w:t>bacco Excise—m</w:t>
      </w:r>
      <w:r w:rsidR="001A5858" w:rsidRPr="00966BD4">
        <w:rPr>
          <w:i/>
        </w:rPr>
        <w:t>easures to imp</w:t>
      </w:r>
      <w:r w:rsidR="00FC4162" w:rsidRPr="00966BD4">
        <w:rPr>
          <w:i/>
        </w:rPr>
        <w:t>rove health outcomes and a</w:t>
      </w:r>
      <w:r w:rsidR="00867B0C" w:rsidRPr="00966BD4">
        <w:rPr>
          <w:i/>
        </w:rPr>
        <w:t>ligning the treatment of stick and non</w:t>
      </w:r>
      <w:r w:rsidR="001B77CF">
        <w:rPr>
          <w:i/>
        </w:rPr>
        <w:noBreakHyphen/>
      </w:r>
      <w:r w:rsidR="00867B0C" w:rsidRPr="00966BD4">
        <w:rPr>
          <w:i/>
        </w:rPr>
        <w:t>stick tobacco tax</w:t>
      </w:r>
    </w:p>
    <w:p w14:paraId="409DF2CE" w14:textId="34DF878F" w:rsidR="00867B0C" w:rsidRPr="00966BD4" w:rsidRDefault="00EC24B5" w:rsidP="00774E24">
      <w:pPr>
        <w:pStyle w:val="Bullet"/>
        <w:rPr>
          <w:i/>
        </w:rPr>
      </w:pPr>
      <w:r w:rsidRPr="00966BD4">
        <w:rPr>
          <w:i/>
        </w:rPr>
        <w:t>Better Targeted Superannuation Concessions</w:t>
      </w:r>
      <w:r w:rsidR="00AC3D61" w:rsidRPr="00966BD4">
        <w:rPr>
          <w:i/>
        </w:rPr>
        <w:t xml:space="preserve"> and </w:t>
      </w:r>
      <w:r w:rsidR="005D06E7" w:rsidRPr="00966BD4">
        <w:rPr>
          <w:i/>
        </w:rPr>
        <w:t>Securing Australians</w:t>
      </w:r>
      <w:r w:rsidR="001B77CF">
        <w:rPr>
          <w:i/>
        </w:rPr>
        <w:t>’</w:t>
      </w:r>
      <w:r w:rsidR="005D06E7" w:rsidRPr="00966BD4">
        <w:rPr>
          <w:i/>
        </w:rPr>
        <w:t xml:space="preserve"> Superannuation Package</w:t>
      </w:r>
    </w:p>
    <w:p w14:paraId="60DBB252" w14:textId="4804B0C5" w:rsidR="008A02CE" w:rsidRPr="00966BD4" w:rsidRDefault="00695AC0" w:rsidP="00774E24">
      <w:pPr>
        <w:pStyle w:val="Bullet"/>
        <w:rPr>
          <w:i/>
        </w:rPr>
      </w:pPr>
      <w:r w:rsidRPr="00966BD4">
        <w:rPr>
          <w:i/>
        </w:rPr>
        <w:t>Petroleum Resource Rent Tax – Government Response to the Review of the PRRT Gas Transfer Pricing arrangements</w:t>
      </w:r>
    </w:p>
    <w:p w14:paraId="251D2D78" w14:textId="45EA8859" w:rsidR="00F47DE6" w:rsidRPr="00966BD4" w:rsidRDefault="00F47DE6" w:rsidP="00774E24">
      <w:pPr>
        <w:pStyle w:val="Bullet"/>
        <w:rPr>
          <w:i/>
        </w:rPr>
      </w:pPr>
      <w:r w:rsidRPr="00966BD4">
        <w:rPr>
          <w:i/>
        </w:rPr>
        <w:t>Small Business Support – $20,000 instant asset write</w:t>
      </w:r>
      <w:r w:rsidR="001B77CF">
        <w:rPr>
          <w:i/>
        </w:rPr>
        <w:noBreakHyphen/>
      </w:r>
      <w:r w:rsidRPr="00966BD4">
        <w:rPr>
          <w:i/>
        </w:rPr>
        <w:t>off</w:t>
      </w:r>
      <w:r w:rsidR="00A06E70" w:rsidRPr="00966BD4">
        <w:rPr>
          <w:i/>
        </w:rPr>
        <w:t xml:space="preserve"> and </w:t>
      </w:r>
      <w:r w:rsidR="00D67764" w:rsidRPr="00966BD4">
        <w:rPr>
          <w:i/>
        </w:rPr>
        <w:t xml:space="preserve">Small Business Support – </w:t>
      </w:r>
      <w:r w:rsidR="00F613BA">
        <w:rPr>
          <w:i/>
        </w:rPr>
        <w:br/>
      </w:r>
      <w:r w:rsidR="00D67764" w:rsidRPr="00966BD4">
        <w:rPr>
          <w:i/>
        </w:rPr>
        <w:t>Small Business Energy Incentive</w:t>
      </w:r>
    </w:p>
    <w:p w14:paraId="4EA69B75" w14:textId="30AE974C" w:rsidR="00D67764" w:rsidRPr="00966BD4" w:rsidRDefault="000E3E3F" w:rsidP="00774E24">
      <w:pPr>
        <w:pStyle w:val="Bullet"/>
        <w:rPr>
          <w:i/>
        </w:rPr>
      </w:pPr>
      <w:r w:rsidRPr="00966BD4">
        <w:rPr>
          <w:i/>
        </w:rPr>
        <w:t>Housing (Build</w:t>
      </w:r>
      <w:r w:rsidR="001B77CF">
        <w:rPr>
          <w:i/>
        </w:rPr>
        <w:noBreakHyphen/>
      </w:r>
      <w:r w:rsidRPr="00966BD4">
        <w:rPr>
          <w:i/>
        </w:rPr>
        <w:t>To</w:t>
      </w:r>
      <w:r w:rsidR="001B77CF">
        <w:rPr>
          <w:i/>
        </w:rPr>
        <w:noBreakHyphen/>
      </w:r>
      <w:r w:rsidRPr="00966BD4">
        <w:rPr>
          <w:i/>
        </w:rPr>
        <w:t>Rent Developments) – accelerat</w:t>
      </w:r>
      <w:r w:rsidR="003410E1" w:rsidRPr="00966BD4">
        <w:rPr>
          <w:i/>
        </w:rPr>
        <w:t>ing</w:t>
      </w:r>
      <w:r w:rsidRPr="00966BD4">
        <w:rPr>
          <w:i/>
        </w:rPr>
        <w:t xml:space="preserve"> tax deductions and reduc</w:t>
      </w:r>
      <w:r w:rsidR="003410E1" w:rsidRPr="00966BD4">
        <w:rPr>
          <w:i/>
        </w:rPr>
        <w:t>ing</w:t>
      </w:r>
      <w:r w:rsidRPr="00966BD4">
        <w:rPr>
          <w:i/>
        </w:rPr>
        <w:t xml:space="preserve"> managed investment trust withholding tax rate</w:t>
      </w:r>
    </w:p>
    <w:p w14:paraId="1902C54E" w14:textId="3315D3DC" w:rsidR="00D907F8" w:rsidRPr="00966BD4" w:rsidRDefault="00D907F8" w:rsidP="009374AA">
      <w:r w:rsidRPr="00966BD4">
        <w:t>For more details on policy decisions, see Budget Statement 1 and Budget Paper No. 2.</w:t>
      </w:r>
    </w:p>
    <w:p w14:paraId="0C4E920A" w14:textId="23057CA9" w:rsidR="00B82C44" w:rsidRPr="00E0267E" w:rsidRDefault="00B82C44" w:rsidP="00774E24">
      <w:r w:rsidRPr="00E0267E">
        <w:br w:type="page"/>
      </w:r>
    </w:p>
    <w:p w14:paraId="1A57FB68" w14:textId="7AB23E1B" w:rsidR="00D907F8" w:rsidRPr="00966BD4" w:rsidRDefault="00D907F8" w:rsidP="00D907F8">
      <w:pPr>
        <w:pStyle w:val="Heading2"/>
      </w:pPr>
      <w:bookmarkStart w:id="9" w:name="_Toc512337934"/>
      <w:bookmarkStart w:id="10" w:name="_Toc52676199"/>
      <w:bookmarkStart w:id="11" w:name="_Toc99201820"/>
      <w:bookmarkStart w:id="12" w:name="_Toc117324547"/>
      <w:bookmarkStart w:id="13" w:name="_Toc134182347"/>
      <w:bookmarkStart w:id="14" w:name="_Toc52676198"/>
      <w:r w:rsidRPr="00966BD4">
        <w:lastRenderedPageBreak/>
        <w:t>Variations in receipts estimates</w:t>
      </w:r>
      <w:bookmarkEnd w:id="9"/>
      <w:bookmarkEnd w:id="10"/>
      <w:bookmarkEnd w:id="11"/>
      <w:bookmarkEnd w:id="12"/>
      <w:bookmarkEnd w:id="13"/>
    </w:p>
    <w:p w14:paraId="3C5495DB" w14:textId="236F59B9" w:rsidR="00D907F8" w:rsidRPr="00966BD4" w:rsidRDefault="00D907F8" w:rsidP="00774E24">
      <w:r w:rsidRPr="00966BD4">
        <w:t xml:space="preserve">Since </w:t>
      </w:r>
      <w:r w:rsidR="00070249" w:rsidRPr="00966BD4">
        <w:t>the October Budget</w:t>
      </w:r>
      <w:r w:rsidRPr="00966BD4">
        <w:t>, total receipts have been revised up by $</w:t>
      </w:r>
      <w:r w:rsidR="00147CCE" w:rsidRPr="00966BD4">
        <w:t>46</w:t>
      </w:r>
      <w:r w:rsidR="001A59D8" w:rsidRPr="00966BD4">
        <w:t>.</w:t>
      </w:r>
      <w:r w:rsidR="00EC3DF7" w:rsidRPr="00966BD4">
        <w:t>7</w:t>
      </w:r>
      <w:r w:rsidRPr="00966BD4">
        <w:t xml:space="preserve"> billion in 202</w:t>
      </w:r>
      <w:r w:rsidR="00070249" w:rsidRPr="00966BD4">
        <w:t>3</w:t>
      </w:r>
      <w:r w:rsidRPr="00966BD4">
        <w:t>–2</w:t>
      </w:r>
      <w:r w:rsidR="00070249" w:rsidRPr="00966BD4">
        <w:t>4</w:t>
      </w:r>
      <w:r w:rsidRPr="00966BD4">
        <w:t xml:space="preserve"> and </w:t>
      </w:r>
      <w:r w:rsidR="00C137BD" w:rsidRPr="00966BD4">
        <w:t>$</w:t>
      </w:r>
      <w:r w:rsidR="00652CA5" w:rsidRPr="00966BD4">
        <w:t>152.6</w:t>
      </w:r>
      <w:r w:rsidRPr="00966BD4">
        <w:t xml:space="preserve"> billion over the </w:t>
      </w:r>
      <w:r w:rsidR="00AB079B" w:rsidRPr="00966BD4">
        <w:t>5</w:t>
      </w:r>
      <w:r w:rsidRPr="00966BD4">
        <w:t xml:space="preserve"> years </w:t>
      </w:r>
      <w:r w:rsidR="005D6DAC" w:rsidRPr="00966BD4">
        <w:t>from 2022</w:t>
      </w:r>
      <w:r w:rsidR="00E96A16" w:rsidRPr="00966BD4">
        <w:t>–</w:t>
      </w:r>
      <w:r w:rsidR="005D6DAC" w:rsidRPr="00966BD4">
        <w:t xml:space="preserve">23 </w:t>
      </w:r>
      <w:r w:rsidRPr="00966BD4">
        <w:t>to 202</w:t>
      </w:r>
      <w:r w:rsidR="00070249" w:rsidRPr="00966BD4">
        <w:t>6</w:t>
      </w:r>
      <w:r w:rsidRPr="00966BD4">
        <w:t>–2</w:t>
      </w:r>
      <w:r w:rsidR="00070249" w:rsidRPr="00966BD4">
        <w:t>7</w:t>
      </w:r>
      <w:r w:rsidRPr="00966BD4">
        <w:t xml:space="preserve">. Table 5.2 reconciles the </w:t>
      </w:r>
      <w:r w:rsidR="00096364" w:rsidRPr="00966BD4">
        <w:t>2023</w:t>
      </w:r>
      <w:r w:rsidR="00E96A16" w:rsidRPr="00966BD4">
        <w:t>–</w:t>
      </w:r>
      <w:r w:rsidR="00096364" w:rsidRPr="00966BD4">
        <w:t xml:space="preserve">24 Budget estimates </w:t>
      </w:r>
      <w:r w:rsidR="004130B0" w:rsidRPr="00966BD4">
        <w:t xml:space="preserve">of total receipts with </w:t>
      </w:r>
      <w:r w:rsidR="00096364" w:rsidRPr="00966BD4">
        <w:t xml:space="preserve">the </w:t>
      </w:r>
      <w:r w:rsidRPr="00966BD4">
        <w:t xml:space="preserve">October Budget </w:t>
      </w:r>
      <w:r w:rsidR="0093110E" w:rsidRPr="00966BD4">
        <w:t xml:space="preserve">and </w:t>
      </w:r>
      <w:r w:rsidR="00551B6F" w:rsidRPr="00966BD4">
        <w:t xml:space="preserve">2022 </w:t>
      </w:r>
      <w:r w:rsidRPr="00966BD4">
        <w:t>PEFO</w:t>
      </w:r>
      <w:r w:rsidR="005564DB" w:rsidRPr="00966BD4">
        <w:t>.</w:t>
      </w:r>
    </w:p>
    <w:p w14:paraId="1DC70E6F" w14:textId="143FBA43" w:rsidR="000F00CB" w:rsidRPr="00966BD4" w:rsidRDefault="00D907F8" w:rsidP="00CF7A60">
      <w:pPr>
        <w:pStyle w:val="TableHeading"/>
        <w:rPr>
          <w:rFonts w:asciiTheme="minorHAnsi" w:eastAsiaTheme="minorHAnsi" w:hAnsiTheme="minorHAnsi" w:cstheme="minorBidi"/>
          <w:sz w:val="22"/>
          <w:szCs w:val="22"/>
          <w:lang w:eastAsia="en-US"/>
        </w:rPr>
      </w:pPr>
      <w:r w:rsidRPr="00966BD4">
        <w:t xml:space="preserve">Table 5.2: Reconciliation of Australian Government general government receipts estimates from </w:t>
      </w:r>
      <w:r w:rsidR="00C01E92" w:rsidRPr="00966BD4">
        <w:t xml:space="preserve">the </w:t>
      </w:r>
      <w:r w:rsidR="00F86113" w:rsidRPr="00966BD4">
        <w:t xml:space="preserve">2022–23 October Budget and </w:t>
      </w:r>
      <w:r w:rsidR="00846312" w:rsidRPr="00966BD4">
        <w:t xml:space="preserve">2022 </w:t>
      </w:r>
      <w:r w:rsidR="00F86113" w:rsidRPr="00966BD4">
        <w:t xml:space="preserve">PEFO </w:t>
      </w:r>
    </w:p>
    <w:tbl>
      <w:tblPr>
        <w:tblW w:w="5000" w:type="pct"/>
        <w:tblCellMar>
          <w:left w:w="0" w:type="dxa"/>
          <w:right w:w="28" w:type="dxa"/>
        </w:tblCellMar>
        <w:tblLook w:val="04A0" w:firstRow="1" w:lastRow="0" w:firstColumn="1" w:lastColumn="0" w:noHBand="0" w:noVBand="1"/>
      </w:tblPr>
      <w:tblGrid>
        <w:gridCol w:w="3102"/>
        <w:gridCol w:w="735"/>
        <w:gridCol w:w="735"/>
        <w:gridCol w:w="736"/>
        <w:gridCol w:w="736"/>
        <w:gridCol w:w="736"/>
        <w:gridCol w:w="82"/>
        <w:gridCol w:w="848"/>
      </w:tblGrid>
      <w:tr w:rsidR="00B6226B" w:rsidRPr="00966BD4" w14:paraId="198AF871" w14:textId="77777777" w:rsidTr="000F00CB">
        <w:trPr>
          <w:divId w:val="1982076922"/>
          <w:trHeight w:hRule="exact" w:val="225"/>
        </w:trPr>
        <w:tc>
          <w:tcPr>
            <w:tcW w:w="2012" w:type="pct"/>
            <w:tcBorders>
              <w:top w:val="single" w:sz="4" w:space="0" w:color="293F5B"/>
              <w:left w:val="nil"/>
              <w:bottom w:val="nil"/>
              <w:right w:val="nil"/>
            </w:tcBorders>
            <w:shd w:val="clear" w:color="auto" w:fill="auto"/>
            <w:vAlign w:val="center"/>
            <w:hideMark/>
          </w:tcPr>
          <w:p w14:paraId="4FEA06AC" w14:textId="62E59D0E" w:rsidR="000F00CB" w:rsidRPr="00966BD4" w:rsidRDefault="000F00CB" w:rsidP="000F00CB">
            <w:pPr>
              <w:rPr>
                <w:rFonts w:ascii="Arial" w:hAnsi="Arial" w:cs="Arial"/>
                <w:sz w:val="16"/>
                <w:szCs w:val="16"/>
              </w:rPr>
            </w:pPr>
            <w:r w:rsidRPr="00966BD4">
              <w:rPr>
                <w:rFonts w:ascii="Arial" w:hAnsi="Arial" w:cs="Arial"/>
                <w:sz w:val="16"/>
                <w:szCs w:val="16"/>
              </w:rPr>
              <w:t> </w:t>
            </w:r>
          </w:p>
        </w:tc>
        <w:tc>
          <w:tcPr>
            <w:tcW w:w="2385" w:type="pct"/>
            <w:gridSpan w:val="5"/>
            <w:tcBorders>
              <w:top w:val="single" w:sz="4" w:space="0" w:color="293F5B"/>
              <w:left w:val="nil"/>
              <w:bottom w:val="nil"/>
              <w:right w:val="nil"/>
            </w:tcBorders>
            <w:shd w:val="clear" w:color="auto" w:fill="auto"/>
            <w:noWrap/>
            <w:vAlign w:val="center"/>
            <w:hideMark/>
          </w:tcPr>
          <w:p w14:paraId="600EDF08" w14:textId="77777777" w:rsidR="000F00CB" w:rsidRPr="00966BD4" w:rsidRDefault="000F00CB" w:rsidP="000F00CB">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3" w:type="pct"/>
            <w:tcBorders>
              <w:top w:val="single" w:sz="4" w:space="0" w:color="293F5B"/>
              <w:left w:val="nil"/>
              <w:bottom w:val="nil"/>
              <w:right w:val="nil"/>
            </w:tcBorders>
            <w:shd w:val="clear" w:color="auto" w:fill="auto"/>
            <w:vAlign w:val="center"/>
            <w:hideMark/>
          </w:tcPr>
          <w:p w14:paraId="358F1AFC"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550" w:type="pct"/>
            <w:tcBorders>
              <w:top w:val="single" w:sz="4" w:space="0" w:color="293F5B"/>
              <w:left w:val="nil"/>
              <w:bottom w:val="nil"/>
              <w:right w:val="nil"/>
            </w:tcBorders>
            <w:shd w:val="clear" w:color="auto" w:fill="auto"/>
            <w:vAlign w:val="center"/>
            <w:hideMark/>
          </w:tcPr>
          <w:p w14:paraId="4E0B10A9"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r>
      <w:tr w:rsidR="00B6226B" w:rsidRPr="00966BD4" w14:paraId="60F87C8B"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0369C0C0"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single" w:sz="4" w:space="0" w:color="293F5B"/>
              <w:left w:val="nil"/>
              <w:bottom w:val="nil"/>
              <w:right w:val="nil"/>
            </w:tcBorders>
            <w:shd w:val="clear" w:color="auto" w:fill="auto"/>
            <w:vAlign w:val="center"/>
            <w:hideMark/>
          </w:tcPr>
          <w:p w14:paraId="0B1433FC"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2022–23</w:t>
            </w:r>
          </w:p>
        </w:tc>
        <w:tc>
          <w:tcPr>
            <w:tcW w:w="477" w:type="pct"/>
            <w:tcBorders>
              <w:top w:val="single" w:sz="4" w:space="0" w:color="293F5B"/>
              <w:left w:val="nil"/>
              <w:bottom w:val="nil"/>
              <w:right w:val="nil"/>
            </w:tcBorders>
            <w:shd w:val="clear" w:color="000000" w:fill="E6F2FF"/>
            <w:noWrap/>
            <w:vAlign w:val="center"/>
            <w:hideMark/>
          </w:tcPr>
          <w:p w14:paraId="211B00CC"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2023–24</w:t>
            </w:r>
          </w:p>
        </w:tc>
        <w:tc>
          <w:tcPr>
            <w:tcW w:w="477" w:type="pct"/>
            <w:tcBorders>
              <w:top w:val="single" w:sz="4" w:space="0" w:color="293F5B"/>
              <w:left w:val="nil"/>
              <w:bottom w:val="nil"/>
              <w:right w:val="nil"/>
            </w:tcBorders>
            <w:shd w:val="clear" w:color="auto" w:fill="auto"/>
            <w:vAlign w:val="center"/>
            <w:hideMark/>
          </w:tcPr>
          <w:p w14:paraId="23FA5912"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2024–25</w:t>
            </w:r>
          </w:p>
        </w:tc>
        <w:tc>
          <w:tcPr>
            <w:tcW w:w="477" w:type="pct"/>
            <w:tcBorders>
              <w:top w:val="single" w:sz="4" w:space="0" w:color="293F5B"/>
              <w:left w:val="nil"/>
              <w:bottom w:val="nil"/>
              <w:right w:val="nil"/>
            </w:tcBorders>
            <w:shd w:val="clear" w:color="auto" w:fill="auto"/>
            <w:vAlign w:val="center"/>
            <w:hideMark/>
          </w:tcPr>
          <w:p w14:paraId="5637BB8A"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2025–26</w:t>
            </w:r>
          </w:p>
        </w:tc>
        <w:tc>
          <w:tcPr>
            <w:tcW w:w="477" w:type="pct"/>
            <w:tcBorders>
              <w:top w:val="single" w:sz="4" w:space="0" w:color="293F5B"/>
              <w:left w:val="nil"/>
              <w:bottom w:val="nil"/>
              <w:right w:val="nil"/>
            </w:tcBorders>
            <w:shd w:val="clear" w:color="auto" w:fill="auto"/>
            <w:vAlign w:val="center"/>
            <w:hideMark/>
          </w:tcPr>
          <w:p w14:paraId="33227939"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2026–27</w:t>
            </w:r>
          </w:p>
        </w:tc>
        <w:tc>
          <w:tcPr>
            <w:tcW w:w="53" w:type="pct"/>
            <w:tcBorders>
              <w:top w:val="nil"/>
              <w:left w:val="nil"/>
              <w:bottom w:val="nil"/>
              <w:right w:val="nil"/>
            </w:tcBorders>
            <w:shd w:val="clear" w:color="auto" w:fill="auto"/>
            <w:vAlign w:val="center"/>
            <w:hideMark/>
          </w:tcPr>
          <w:p w14:paraId="4C913C40"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single" w:sz="4" w:space="0" w:color="293F5B"/>
              <w:left w:val="nil"/>
              <w:bottom w:val="nil"/>
              <w:right w:val="nil"/>
            </w:tcBorders>
            <w:shd w:val="clear" w:color="auto" w:fill="auto"/>
            <w:vAlign w:val="center"/>
            <w:hideMark/>
          </w:tcPr>
          <w:p w14:paraId="7AC13418"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Total</w:t>
            </w:r>
          </w:p>
        </w:tc>
      </w:tr>
      <w:tr w:rsidR="00B6226B" w:rsidRPr="00966BD4" w14:paraId="2A324121"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37CEDC34"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single" w:sz="4" w:space="0" w:color="293F5B"/>
              <w:right w:val="nil"/>
            </w:tcBorders>
            <w:shd w:val="clear" w:color="auto" w:fill="auto"/>
            <w:vAlign w:val="center"/>
            <w:hideMark/>
          </w:tcPr>
          <w:p w14:paraId="15E28C7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c>
          <w:tcPr>
            <w:tcW w:w="477" w:type="pct"/>
            <w:tcBorders>
              <w:top w:val="nil"/>
              <w:left w:val="nil"/>
              <w:bottom w:val="single" w:sz="4" w:space="0" w:color="293F5B"/>
              <w:right w:val="nil"/>
            </w:tcBorders>
            <w:shd w:val="clear" w:color="000000" w:fill="E6F2FF"/>
            <w:noWrap/>
            <w:vAlign w:val="center"/>
            <w:hideMark/>
          </w:tcPr>
          <w:p w14:paraId="2F334EFA"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c>
          <w:tcPr>
            <w:tcW w:w="477" w:type="pct"/>
            <w:tcBorders>
              <w:top w:val="nil"/>
              <w:left w:val="nil"/>
              <w:bottom w:val="single" w:sz="4" w:space="0" w:color="293F5B"/>
              <w:right w:val="nil"/>
            </w:tcBorders>
            <w:shd w:val="clear" w:color="auto" w:fill="auto"/>
            <w:vAlign w:val="center"/>
            <w:hideMark/>
          </w:tcPr>
          <w:p w14:paraId="5E69AAEE"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c>
          <w:tcPr>
            <w:tcW w:w="477" w:type="pct"/>
            <w:tcBorders>
              <w:top w:val="nil"/>
              <w:left w:val="nil"/>
              <w:bottom w:val="single" w:sz="4" w:space="0" w:color="293F5B"/>
              <w:right w:val="nil"/>
            </w:tcBorders>
            <w:shd w:val="clear" w:color="auto" w:fill="auto"/>
            <w:vAlign w:val="center"/>
            <w:hideMark/>
          </w:tcPr>
          <w:p w14:paraId="16CF4BB3"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c>
          <w:tcPr>
            <w:tcW w:w="477" w:type="pct"/>
            <w:tcBorders>
              <w:top w:val="nil"/>
              <w:left w:val="nil"/>
              <w:bottom w:val="single" w:sz="4" w:space="0" w:color="293F5B"/>
              <w:right w:val="nil"/>
            </w:tcBorders>
            <w:shd w:val="clear" w:color="auto" w:fill="auto"/>
            <w:vAlign w:val="center"/>
            <w:hideMark/>
          </w:tcPr>
          <w:p w14:paraId="2997C05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c>
          <w:tcPr>
            <w:tcW w:w="53" w:type="pct"/>
            <w:tcBorders>
              <w:top w:val="nil"/>
              <w:left w:val="nil"/>
              <w:bottom w:val="nil"/>
              <w:right w:val="nil"/>
            </w:tcBorders>
            <w:shd w:val="clear" w:color="auto" w:fill="auto"/>
            <w:vAlign w:val="center"/>
            <w:hideMark/>
          </w:tcPr>
          <w:p w14:paraId="3DBA6076"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nil"/>
              <w:left w:val="nil"/>
              <w:bottom w:val="single" w:sz="4" w:space="0" w:color="293F5B"/>
              <w:right w:val="nil"/>
            </w:tcBorders>
            <w:shd w:val="clear" w:color="auto" w:fill="auto"/>
            <w:vAlign w:val="center"/>
            <w:hideMark/>
          </w:tcPr>
          <w:p w14:paraId="321351B4"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$m</w:t>
            </w:r>
          </w:p>
        </w:tc>
      </w:tr>
      <w:tr w:rsidR="00B6226B" w:rsidRPr="00966BD4" w14:paraId="5EE14F30"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64F9678D" w14:textId="77777777"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Receipts at 2022 PEFO</w:t>
            </w:r>
          </w:p>
        </w:tc>
        <w:tc>
          <w:tcPr>
            <w:tcW w:w="477" w:type="pct"/>
            <w:tcBorders>
              <w:top w:val="nil"/>
              <w:left w:val="nil"/>
              <w:bottom w:val="nil"/>
              <w:right w:val="nil"/>
            </w:tcBorders>
            <w:shd w:val="clear" w:color="auto" w:fill="auto"/>
            <w:vAlign w:val="center"/>
            <w:hideMark/>
          </w:tcPr>
          <w:p w14:paraId="4F0680E3" w14:textId="56C5E48A"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548,533 </w:t>
            </w:r>
          </w:p>
        </w:tc>
        <w:tc>
          <w:tcPr>
            <w:tcW w:w="477" w:type="pct"/>
            <w:tcBorders>
              <w:top w:val="nil"/>
              <w:left w:val="nil"/>
              <w:bottom w:val="nil"/>
              <w:right w:val="nil"/>
            </w:tcBorders>
            <w:shd w:val="clear" w:color="000000" w:fill="E6F2FF"/>
            <w:vAlign w:val="center"/>
            <w:hideMark/>
          </w:tcPr>
          <w:p w14:paraId="478B572F" w14:textId="46A5768F"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585,189 </w:t>
            </w:r>
          </w:p>
        </w:tc>
        <w:tc>
          <w:tcPr>
            <w:tcW w:w="477" w:type="pct"/>
            <w:tcBorders>
              <w:top w:val="nil"/>
              <w:left w:val="nil"/>
              <w:bottom w:val="nil"/>
              <w:right w:val="nil"/>
            </w:tcBorders>
            <w:shd w:val="clear" w:color="auto" w:fill="auto"/>
            <w:vAlign w:val="center"/>
            <w:hideMark/>
          </w:tcPr>
          <w:p w14:paraId="479C944B" w14:textId="3A107269"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615,184 </w:t>
            </w:r>
          </w:p>
        </w:tc>
        <w:tc>
          <w:tcPr>
            <w:tcW w:w="477" w:type="pct"/>
            <w:tcBorders>
              <w:top w:val="nil"/>
              <w:left w:val="nil"/>
              <w:bottom w:val="nil"/>
              <w:right w:val="nil"/>
            </w:tcBorders>
            <w:shd w:val="clear" w:color="auto" w:fill="auto"/>
            <w:vAlign w:val="center"/>
            <w:hideMark/>
          </w:tcPr>
          <w:p w14:paraId="5CF1E280" w14:textId="7D6145B9"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643,900 </w:t>
            </w:r>
          </w:p>
        </w:tc>
        <w:tc>
          <w:tcPr>
            <w:tcW w:w="477" w:type="pct"/>
            <w:tcBorders>
              <w:top w:val="nil"/>
              <w:left w:val="nil"/>
              <w:bottom w:val="nil"/>
              <w:right w:val="nil"/>
            </w:tcBorders>
            <w:shd w:val="clear" w:color="auto" w:fill="auto"/>
            <w:vAlign w:val="center"/>
            <w:hideMark/>
          </w:tcPr>
          <w:p w14:paraId="468B3FDC" w14:textId="3E88E885"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 </w:t>
            </w:r>
          </w:p>
        </w:tc>
        <w:tc>
          <w:tcPr>
            <w:tcW w:w="53" w:type="pct"/>
            <w:tcBorders>
              <w:top w:val="nil"/>
              <w:left w:val="nil"/>
              <w:bottom w:val="nil"/>
              <w:right w:val="nil"/>
            </w:tcBorders>
            <w:shd w:val="clear" w:color="auto" w:fill="auto"/>
            <w:vAlign w:val="center"/>
            <w:hideMark/>
          </w:tcPr>
          <w:p w14:paraId="671DC252" w14:textId="77777777" w:rsidR="000F00CB" w:rsidRPr="00966BD4" w:rsidRDefault="000F00CB" w:rsidP="000F00CB">
            <w:pPr>
              <w:spacing w:before="0" w:after="0" w:line="240" w:lineRule="auto"/>
              <w:jc w:val="right"/>
              <w:rPr>
                <w:rFonts w:ascii="Arial" w:hAnsi="Arial" w:cs="Arial"/>
                <w:b/>
                <w:bCs/>
                <w:sz w:val="16"/>
                <w:szCs w:val="16"/>
              </w:rPr>
            </w:pPr>
          </w:p>
        </w:tc>
        <w:tc>
          <w:tcPr>
            <w:tcW w:w="550" w:type="pct"/>
            <w:tcBorders>
              <w:top w:val="nil"/>
              <w:left w:val="nil"/>
              <w:bottom w:val="nil"/>
              <w:right w:val="nil"/>
            </w:tcBorders>
            <w:shd w:val="clear" w:color="auto" w:fill="auto"/>
            <w:vAlign w:val="center"/>
            <w:hideMark/>
          </w:tcPr>
          <w:p w14:paraId="7BB4B71A" w14:textId="159A60ED"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 </w:t>
            </w:r>
          </w:p>
        </w:tc>
      </w:tr>
      <w:tr w:rsidR="00B6226B" w:rsidRPr="00966BD4" w14:paraId="7ADBC68D" w14:textId="77777777" w:rsidTr="000F00CB">
        <w:trPr>
          <w:divId w:val="1982076922"/>
          <w:trHeight w:hRule="exact" w:val="60"/>
        </w:trPr>
        <w:tc>
          <w:tcPr>
            <w:tcW w:w="2012" w:type="pct"/>
            <w:tcBorders>
              <w:top w:val="nil"/>
              <w:left w:val="nil"/>
              <w:bottom w:val="nil"/>
              <w:right w:val="nil"/>
            </w:tcBorders>
            <w:shd w:val="clear" w:color="auto" w:fill="auto"/>
            <w:vAlign w:val="center"/>
            <w:hideMark/>
          </w:tcPr>
          <w:p w14:paraId="04A7D043" w14:textId="77777777" w:rsidR="000F00CB" w:rsidRPr="00966BD4" w:rsidRDefault="000F00CB" w:rsidP="000F00CB">
            <w:pPr>
              <w:spacing w:before="0" w:after="0" w:line="240" w:lineRule="auto"/>
              <w:jc w:val="right"/>
              <w:rPr>
                <w:rFonts w:ascii="Arial" w:hAnsi="Arial" w:cs="Arial"/>
                <w:b/>
                <w:bCs/>
                <w:sz w:val="16"/>
                <w:szCs w:val="16"/>
              </w:rPr>
            </w:pPr>
          </w:p>
        </w:tc>
        <w:tc>
          <w:tcPr>
            <w:tcW w:w="477" w:type="pct"/>
            <w:tcBorders>
              <w:top w:val="nil"/>
              <w:left w:val="nil"/>
              <w:bottom w:val="nil"/>
              <w:right w:val="nil"/>
            </w:tcBorders>
            <w:shd w:val="clear" w:color="auto" w:fill="auto"/>
            <w:vAlign w:val="center"/>
            <w:hideMark/>
          </w:tcPr>
          <w:p w14:paraId="34ED5C6D" w14:textId="77777777" w:rsidR="000F00CB" w:rsidRPr="00966BD4" w:rsidRDefault="000F00CB" w:rsidP="000F00CB">
            <w:pPr>
              <w:spacing w:before="0" w:after="0" w:line="240" w:lineRule="auto"/>
              <w:jc w:val="right"/>
              <w:rPr>
                <w:rFonts w:ascii="Times New Roman" w:hAnsi="Times New Roman"/>
                <w:sz w:val="20"/>
              </w:rPr>
            </w:pPr>
          </w:p>
        </w:tc>
        <w:tc>
          <w:tcPr>
            <w:tcW w:w="477" w:type="pct"/>
            <w:tcBorders>
              <w:top w:val="nil"/>
              <w:left w:val="nil"/>
              <w:bottom w:val="nil"/>
              <w:right w:val="nil"/>
            </w:tcBorders>
            <w:shd w:val="clear" w:color="000000" w:fill="E6F2FF"/>
            <w:vAlign w:val="center"/>
            <w:hideMark/>
          </w:tcPr>
          <w:p w14:paraId="10FFA362"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nil"/>
              <w:right w:val="nil"/>
            </w:tcBorders>
            <w:shd w:val="clear" w:color="auto" w:fill="auto"/>
            <w:vAlign w:val="center"/>
            <w:hideMark/>
          </w:tcPr>
          <w:p w14:paraId="3A2B9BA7" w14:textId="77777777" w:rsidR="000F00CB" w:rsidRPr="00966BD4" w:rsidRDefault="000F00CB" w:rsidP="000F00CB">
            <w:pPr>
              <w:spacing w:before="0" w:after="0" w:line="240" w:lineRule="auto"/>
              <w:rPr>
                <w:rFonts w:ascii="Arial" w:hAnsi="Arial" w:cs="Arial"/>
                <w:sz w:val="16"/>
                <w:szCs w:val="16"/>
              </w:rPr>
            </w:pPr>
          </w:p>
        </w:tc>
        <w:tc>
          <w:tcPr>
            <w:tcW w:w="477" w:type="pct"/>
            <w:tcBorders>
              <w:top w:val="nil"/>
              <w:left w:val="nil"/>
              <w:bottom w:val="nil"/>
              <w:right w:val="nil"/>
            </w:tcBorders>
            <w:shd w:val="clear" w:color="auto" w:fill="auto"/>
            <w:vAlign w:val="center"/>
            <w:hideMark/>
          </w:tcPr>
          <w:p w14:paraId="35FF2039"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1783FA49"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vAlign w:val="center"/>
            <w:hideMark/>
          </w:tcPr>
          <w:p w14:paraId="3D257240"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vAlign w:val="center"/>
            <w:hideMark/>
          </w:tcPr>
          <w:p w14:paraId="609CCFC6" w14:textId="77777777" w:rsidR="000F00CB" w:rsidRPr="00966BD4" w:rsidRDefault="000F00CB" w:rsidP="000F00CB">
            <w:pPr>
              <w:spacing w:before="0" w:after="0" w:line="240" w:lineRule="auto"/>
              <w:rPr>
                <w:rFonts w:ascii="Times New Roman" w:hAnsi="Times New Roman"/>
                <w:sz w:val="20"/>
              </w:rPr>
            </w:pPr>
          </w:p>
        </w:tc>
      </w:tr>
      <w:tr w:rsidR="00B6226B" w:rsidRPr="00966BD4" w14:paraId="6F3A5C00"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5C5D1771" w14:textId="77777777"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Changes from 2022 PEFO</w:t>
            </w:r>
          </w:p>
        </w:tc>
        <w:tc>
          <w:tcPr>
            <w:tcW w:w="477" w:type="pct"/>
            <w:tcBorders>
              <w:top w:val="nil"/>
              <w:left w:val="nil"/>
              <w:bottom w:val="nil"/>
              <w:right w:val="nil"/>
            </w:tcBorders>
            <w:shd w:val="clear" w:color="auto" w:fill="auto"/>
            <w:vAlign w:val="center"/>
            <w:hideMark/>
          </w:tcPr>
          <w:p w14:paraId="7A592C94" w14:textId="77777777" w:rsidR="000F00CB" w:rsidRPr="00966BD4" w:rsidRDefault="000F00CB" w:rsidP="000F00CB">
            <w:pPr>
              <w:spacing w:before="0" w:after="0" w:line="240" w:lineRule="auto"/>
              <w:rPr>
                <w:rFonts w:ascii="Arial" w:hAnsi="Arial" w:cs="Arial"/>
                <w:b/>
                <w:bCs/>
                <w:sz w:val="16"/>
                <w:szCs w:val="16"/>
              </w:rPr>
            </w:pPr>
          </w:p>
        </w:tc>
        <w:tc>
          <w:tcPr>
            <w:tcW w:w="477" w:type="pct"/>
            <w:tcBorders>
              <w:top w:val="nil"/>
              <w:left w:val="nil"/>
              <w:bottom w:val="nil"/>
              <w:right w:val="nil"/>
            </w:tcBorders>
            <w:shd w:val="clear" w:color="000000" w:fill="E6F2FF"/>
            <w:vAlign w:val="center"/>
            <w:hideMark/>
          </w:tcPr>
          <w:p w14:paraId="4A10247F" w14:textId="77777777" w:rsidR="000F00CB" w:rsidRPr="00966BD4" w:rsidRDefault="000F00CB" w:rsidP="000F00CB">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7" w:type="pct"/>
            <w:tcBorders>
              <w:top w:val="nil"/>
              <w:left w:val="nil"/>
              <w:bottom w:val="nil"/>
              <w:right w:val="nil"/>
            </w:tcBorders>
            <w:shd w:val="clear" w:color="auto" w:fill="auto"/>
            <w:vAlign w:val="center"/>
            <w:hideMark/>
          </w:tcPr>
          <w:p w14:paraId="68550A5B" w14:textId="77777777" w:rsidR="000F00CB" w:rsidRPr="00966BD4" w:rsidRDefault="000F00CB" w:rsidP="000F00CB">
            <w:pPr>
              <w:spacing w:before="0" w:after="0" w:line="240" w:lineRule="auto"/>
              <w:rPr>
                <w:rFonts w:ascii="Arial" w:hAnsi="Arial" w:cs="Arial"/>
                <w:i/>
                <w:iCs/>
                <w:sz w:val="16"/>
                <w:szCs w:val="16"/>
              </w:rPr>
            </w:pPr>
          </w:p>
        </w:tc>
        <w:tc>
          <w:tcPr>
            <w:tcW w:w="477" w:type="pct"/>
            <w:tcBorders>
              <w:top w:val="nil"/>
              <w:left w:val="nil"/>
              <w:bottom w:val="nil"/>
              <w:right w:val="nil"/>
            </w:tcBorders>
            <w:shd w:val="clear" w:color="auto" w:fill="auto"/>
            <w:vAlign w:val="center"/>
            <w:hideMark/>
          </w:tcPr>
          <w:p w14:paraId="217B2651"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0C79C26D"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vAlign w:val="center"/>
            <w:hideMark/>
          </w:tcPr>
          <w:p w14:paraId="362490A3"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vAlign w:val="center"/>
            <w:hideMark/>
          </w:tcPr>
          <w:p w14:paraId="33CD8A2B" w14:textId="77777777" w:rsidR="000F00CB" w:rsidRPr="00966BD4" w:rsidRDefault="000F00CB" w:rsidP="000F00CB">
            <w:pPr>
              <w:spacing w:before="0" w:after="0" w:line="240" w:lineRule="auto"/>
              <w:rPr>
                <w:rFonts w:ascii="Times New Roman" w:hAnsi="Times New Roman"/>
                <w:sz w:val="20"/>
              </w:rPr>
            </w:pPr>
          </w:p>
        </w:tc>
      </w:tr>
      <w:tr w:rsidR="00B6226B" w:rsidRPr="00966BD4" w14:paraId="69386971"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2CE857AC" w14:textId="533F08D0" w:rsidR="000F00CB" w:rsidRPr="00966BD4" w:rsidRDefault="000F00CB" w:rsidP="000F00CB">
            <w:pPr>
              <w:spacing w:before="0" w:after="0" w:line="240" w:lineRule="auto"/>
              <w:ind w:left="170"/>
              <w:rPr>
                <w:rFonts w:ascii="Arial" w:hAnsi="Arial" w:cs="Arial"/>
                <w:b/>
                <w:bCs/>
                <w:sz w:val="16"/>
                <w:szCs w:val="16"/>
              </w:rPr>
            </w:pPr>
            <w:r w:rsidRPr="00966BD4">
              <w:rPr>
                <w:rFonts w:ascii="Arial" w:hAnsi="Arial" w:cs="Arial"/>
                <w:b/>
                <w:bCs/>
                <w:sz w:val="16"/>
                <w:szCs w:val="16"/>
              </w:rPr>
              <w:t>to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77" w:type="pct"/>
            <w:tcBorders>
              <w:top w:val="nil"/>
              <w:left w:val="nil"/>
              <w:bottom w:val="nil"/>
              <w:right w:val="nil"/>
            </w:tcBorders>
            <w:shd w:val="clear" w:color="auto" w:fill="auto"/>
            <w:vAlign w:val="center"/>
            <w:hideMark/>
          </w:tcPr>
          <w:p w14:paraId="68783C12" w14:textId="77777777" w:rsidR="000F00CB" w:rsidRPr="00966BD4" w:rsidRDefault="000F00CB" w:rsidP="000F00CB">
            <w:pPr>
              <w:spacing w:before="0" w:after="0" w:line="240" w:lineRule="auto"/>
              <w:ind w:firstLineChars="100" w:firstLine="161"/>
              <w:rPr>
                <w:rFonts w:ascii="Arial" w:hAnsi="Arial" w:cs="Arial"/>
                <w:b/>
                <w:bCs/>
                <w:sz w:val="16"/>
                <w:szCs w:val="16"/>
              </w:rPr>
            </w:pPr>
          </w:p>
        </w:tc>
        <w:tc>
          <w:tcPr>
            <w:tcW w:w="477" w:type="pct"/>
            <w:tcBorders>
              <w:top w:val="nil"/>
              <w:left w:val="nil"/>
              <w:bottom w:val="nil"/>
              <w:right w:val="nil"/>
            </w:tcBorders>
            <w:shd w:val="clear" w:color="000000" w:fill="E6F2FF"/>
            <w:vAlign w:val="center"/>
            <w:hideMark/>
          </w:tcPr>
          <w:p w14:paraId="67A56F87" w14:textId="77777777" w:rsidR="000F00CB" w:rsidRPr="00966BD4" w:rsidRDefault="000F00CB" w:rsidP="000F00CB">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7" w:type="pct"/>
            <w:tcBorders>
              <w:top w:val="nil"/>
              <w:left w:val="nil"/>
              <w:bottom w:val="nil"/>
              <w:right w:val="nil"/>
            </w:tcBorders>
            <w:shd w:val="clear" w:color="auto" w:fill="auto"/>
            <w:vAlign w:val="center"/>
            <w:hideMark/>
          </w:tcPr>
          <w:p w14:paraId="50B48AF3" w14:textId="77777777" w:rsidR="000F00CB" w:rsidRPr="00966BD4" w:rsidRDefault="000F00CB" w:rsidP="000F00CB">
            <w:pPr>
              <w:spacing w:before="0" w:after="0" w:line="240" w:lineRule="auto"/>
              <w:rPr>
                <w:rFonts w:ascii="Arial" w:hAnsi="Arial" w:cs="Arial"/>
                <w:i/>
                <w:iCs/>
                <w:sz w:val="16"/>
                <w:szCs w:val="16"/>
              </w:rPr>
            </w:pPr>
          </w:p>
        </w:tc>
        <w:tc>
          <w:tcPr>
            <w:tcW w:w="477" w:type="pct"/>
            <w:tcBorders>
              <w:top w:val="nil"/>
              <w:left w:val="nil"/>
              <w:bottom w:val="nil"/>
              <w:right w:val="nil"/>
            </w:tcBorders>
            <w:shd w:val="clear" w:color="auto" w:fill="auto"/>
            <w:vAlign w:val="center"/>
            <w:hideMark/>
          </w:tcPr>
          <w:p w14:paraId="39435E40"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68838C26"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vAlign w:val="center"/>
            <w:hideMark/>
          </w:tcPr>
          <w:p w14:paraId="19A471E9"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vAlign w:val="center"/>
            <w:hideMark/>
          </w:tcPr>
          <w:p w14:paraId="54B2C4E5" w14:textId="77777777" w:rsidR="000F00CB" w:rsidRPr="00966BD4" w:rsidRDefault="000F00CB" w:rsidP="000F00CB">
            <w:pPr>
              <w:spacing w:before="0" w:after="0" w:line="240" w:lineRule="auto"/>
              <w:rPr>
                <w:rFonts w:ascii="Times New Roman" w:hAnsi="Times New Roman"/>
                <w:sz w:val="20"/>
              </w:rPr>
            </w:pPr>
          </w:p>
        </w:tc>
      </w:tr>
      <w:tr w:rsidR="00B6226B" w:rsidRPr="00966BD4" w14:paraId="22CF60B2"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3432159A"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Effect of policy decisions </w:t>
            </w:r>
          </w:p>
        </w:tc>
        <w:tc>
          <w:tcPr>
            <w:tcW w:w="477" w:type="pct"/>
            <w:tcBorders>
              <w:top w:val="nil"/>
              <w:left w:val="nil"/>
              <w:bottom w:val="nil"/>
              <w:right w:val="nil"/>
            </w:tcBorders>
            <w:shd w:val="clear" w:color="auto" w:fill="auto"/>
            <w:noWrap/>
            <w:vAlign w:val="bottom"/>
            <w:hideMark/>
          </w:tcPr>
          <w:p w14:paraId="007390F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1,410</w:t>
            </w:r>
          </w:p>
        </w:tc>
        <w:tc>
          <w:tcPr>
            <w:tcW w:w="477" w:type="pct"/>
            <w:tcBorders>
              <w:top w:val="nil"/>
              <w:left w:val="nil"/>
              <w:bottom w:val="nil"/>
              <w:right w:val="nil"/>
            </w:tcBorders>
            <w:shd w:val="clear" w:color="000000" w:fill="E6F2FF"/>
            <w:noWrap/>
            <w:vAlign w:val="bottom"/>
            <w:hideMark/>
          </w:tcPr>
          <w:p w14:paraId="6C8CE2F0"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2,458</w:t>
            </w:r>
          </w:p>
        </w:tc>
        <w:tc>
          <w:tcPr>
            <w:tcW w:w="477" w:type="pct"/>
            <w:tcBorders>
              <w:top w:val="nil"/>
              <w:left w:val="nil"/>
              <w:bottom w:val="nil"/>
              <w:right w:val="nil"/>
            </w:tcBorders>
            <w:shd w:val="clear" w:color="auto" w:fill="auto"/>
            <w:noWrap/>
            <w:vAlign w:val="bottom"/>
            <w:hideMark/>
          </w:tcPr>
          <w:p w14:paraId="73EB0C85"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3,967</w:t>
            </w:r>
          </w:p>
        </w:tc>
        <w:tc>
          <w:tcPr>
            <w:tcW w:w="477" w:type="pct"/>
            <w:tcBorders>
              <w:top w:val="nil"/>
              <w:left w:val="nil"/>
              <w:bottom w:val="nil"/>
              <w:right w:val="nil"/>
            </w:tcBorders>
            <w:shd w:val="clear" w:color="auto" w:fill="auto"/>
            <w:noWrap/>
            <w:vAlign w:val="bottom"/>
            <w:hideMark/>
          </w:tcPr>
          <w:p w14:paraId="1B4C2EF3"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5,253</w:t>
            </w:r>
          </w:p>
        </w:tc>
        <w:tc>
          <w:tcPr>
            <w:tcW w:w="477" w:type="pct"/>
            <w:tcBorders>
              <w:top w:val="nil"/>
              <w:left w:val="nil"/>
              <w:bottom w:val="nil"/>
              <w:right w:val="nil"/>
            </w:tcBorders>
            <w:shd w:val="clear" w:color="auto" w:fill="auto"/>
            <w:vAlign w:val="center"/>
            <w:hideMark/>
          </w:tcPr>
          <w:p w14:paraId="54B1D1A7"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w:t>
            </w:r>
          </w:p>
        </w:tc>
        <w:tc>
          <w:tcPr>
            <w:tcW w:w="53" w:type="pct"/>
            <w:tcBorders>
              <w:top w:val="nil"/>
              <w:left w:val="nil"/>
              <w:bottom w:val="nil"/>
              <w:right w:val="nil"/>
            </w:tcBorders>
            <w:shd w:val="clear" w:color="auto" w:fill="auto"/>
            <w:noWrap/>
            <w:vAlign w:val="bottom"/>
            <w:hideMark/>
          </w:tcPr>
          <w:p w14:paraId="44C4E868"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vAlign w:val="center"/>
            <w:hideMark/>
          </w:tcPr>
          <w:p w14:paraId="5114B778" w14:textId="33DA8915"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 xml:space="preserve">* </w:t>
            </w:r>
          </w:p>
        </w:tc>
      </w:tr>
      <w:tr w:rsidR="00B6226B" w:rsidRPr="00966BD4" w14:paraId="296FD60A"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08BD47F0"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Effect of parameter and other variations </w:t>
            </w:r>
          </w:p>
        </w:tc>
        <w:tc>
          <w:tcPr>
            <w:tcW w:w="477" w:type="pct"/>
            <w:tcBorders>
              <w:top w:val="nil"/>
              <w:left w:val="nil"/>
              <w:bottom w:val="nil"/>
              <w:right w:val="nil"/>
            </w:tcBorders>
            <w:shd w:val="clear" w:color="auto" w:fill="auto"/>
            <w:vAlign w:val="center"/>
            <w:hideMark/>
          </w:tcPr>
          <w:p w14:paraId="607D694C"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57,286</w:t>
            </w:r>
          </w:p>
        </w:tc>
        <w:tc>
          <w:tcPr>
            <w:tcW w:w="477" w:type="pct"/>
            <w:tcBorders>
              <w:top w:val="nil"/>
              <w:left w:val="nil"/>
              <w:bottom w:val="nil"/>
              <w:right w:val="nil"/>
            </w:tcBorders>
            <w:shd w:val="clear" w:color="000000" w:fill="E6F2FF"/>
            <w:vAlign w:val="center"/>
            <w:hideMark/>
          </w:tcPr>
          <w:p w14:paraId="463D81C5"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33,793</w:t>
            </w:r>
          </w:p>
        </w:tc>
        <w:tc>
          <w:tcPr>
            <w:tcW w:w="477" w:type="pct"/>
            <w:tcBorders>
              <w:top w:val="nil"/>
              <w:left w:val="nil"/>
              <w:bottom w:val="nil"/>
              <w:right w:val="nil"/>
            </w:tcBorders>
            <w:shd w:val="clear" w:color="auto" w:fill="auto"/>
            <w:vAlign w:val="center"/>
            <w:hideMark/>
          </w:tcPr>
          <w:p w14:paraId="40A83164"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23,689</w:t>
            </w:r>
          </w:p>
        </w:tc>
        <w:tc>
          <w:tcPr>
            <w:tcW w:w="477" w:type="pct"/>
            <w:tcBorders>
              <w:top w:val="nil"/>
              <w:left w:val="nil"/>
              <w:bottom w:val="nil"/>
              <w:right w:val="nil"/>
            </w:tcBorders>
            <w:shd w:val="clear" w:color="auto" w:fill="auto"/>
            <w:vAlign w:val="center"/>
            <w:hideMark/>
          </w:tcPr>
          <w:p w14:paraId="0F7BA678"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29,870</w:t>
            </w:r>
          </w:p>
        </w:tc>
        <w:tc>
          <w:tcPr>
            <w:tcW w:w="477" w:type="pct"/>
            <w:tcBorders>
              <w:top w:val="nil"/>
              <w:left w:val="nil"/>
              <w:bottom w:val="nil"/>
              <w:right w:val="nil"/>
            </w:tcBorders>
            <w:shd w:val="clear" w:color="auto" w:fill="auto"/>
            <w:vAlign w:val="center"/>
            <w:hideMark/>
          </w:tcPr>
          <w:p w14:paraId="15ADF49B"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w:t>
            </w:r>
          </w:p>
        </w:tc>
        <w:tc>
          <w:tcPr>
            <w:tcW w:w="53" w:type="pct"/>
            <w:tcBorders>
              <w:top w:val="nil"/>
              <w:left w:val="nil"/>
              <w:bottom w:val="nil"/>
              <w:right w:val="nil"/>
            </w:tcBorders>
            <w:shd w:val="clear" w:color="auto" w:fill="auto"/>
            <w:vAlign w:val="center"/>
            <w:hideMark/>
          </w:tcPr>
          <w:p w14:paraId="4D8D9BD3"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nil"/>
              <w:left w:val="nil"/>
              <w:bottom w:val="single" w:sz="4" w:space="0" w:color="auto"/>
              <w:right w:val="nil"/>
            </w:tcBorders>
            <w:shd w:val="clear" w:color="auto" w:fill="auto"/>
            <w:vAlign w:val="center"/>
            <w:hideMark/>
          </w:tcPr>
          <w:p w14:paraId="4C9FCC5C" w14:textId="13B12AB6"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 xml:space="preserve">* </w:t>
            </w:r>
          </w:p>
        </w:tc>
      </w:tr>
      <w:tr w:rsidR="00B6226B" w:rsidRPr="00966BD4" w14:paraId="6D6250EA"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427317B2" w14:textId="77777777"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Total variations </w:t>
            </w:r>
          </w:p>
        </w:tc>
        <w:tc>
          <w:tcPr>
            <w:tcW w:w="477" w:type="pct"/>
            <w:tcBorders>
              <w:top w:val="single" w:sz="4" w:space="0" w:color="293F5B"/>
              <w:left w:val="nil"/>
              <w:bottom w:val="single" w:sz="4" w:space="0" w:color="293F5B"/>
              <w:right w:val="nil"/>
            </w:tcBorders>
            <w:shd w:val="clear" w:color="auto" w:fill="auto"/>
            <w:vAlign w:val="center"/>
            <w:hideMark/>
          </w:tcPr>
          <w:p w14:paraId="5460EE3D" w14:textId="7EC0F323"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58,696 </w:t>
            </w:r>
          </w:p>
        </w:tc>
        <w:tc>
          <w:tcPr>
            <w:tcW w:w="477" w:type="pct"/>
            <w:tcBorders>
              <w:top w:val="single" w:sz="4" w:space="0" w:color="293F5B"/>
              <w:left w:val="nil"/>
              <w:bottom w:val="single" w:sz="4" w:space="0" w:color="293F5B"/>
              <w:right w:val="nil"/>
            </w:tcBorders>
            <w:shd w:val="clear" w:color="000000" w:fill="E6F2FF"/>
            <w:vAlign w:val="center"/>
            <w:hideMark/>
          </w:tcPr>
          <w:p w14:paraId="25A08D8D" w14:textId="6DD5E413"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36,252 </w:t>
            </w:r>
          </w:p>
        </w:tc>
        <w:tc>
          <w:tcPr>
            <w:tcW w:w="477" w:type="pct"/>
            <w:tcBorders>
              <w:top w:val="single" w:sz="4" w:space="0" w:color="293F5B"/>
              <w:left w:val="nil"/>
              <w:bottom w:val="single" w:sz="4" w:space="0" w:color="293F5B"/>
              <w:right w:val="nil"/>
            </w:tcBorders>
            <w:shd w:val="clear" w:color="auto" w:fill="auto"/>
            <w:vAlign w:val="center"/>
            <w:hideMark/>
          </w:tcPr>
          <w:p w14:paraId="1B632993" w14:textId="0C32D7CC"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27,656 </w:t>
            </w:r>
          </w:p>
        </w:tc>
        <w:tc>
          <w:tcPr>
            <w:tcW w:w="477" w:type="pct"/>
            <w:tcBorders>
              <w:top w:val="single" w:sz="4" w:space="0" w:color="293F5B"/>
              <w:left w:val="nil"/>
              <w:bottom w:val="single" w:sz="4" w:space="0" w:color="293F5B"/>
              <w:right w:val="nil"/>
            </w:tcBorders>
            <w:shd w:val="clear" w:color="auto" w:fill="auto"/>
            <w:vAlign w:val="center"/>
            <w:hideMark/>
          </w:tcPr>
          <w:p w14:paraId="463EAD97" w14:textId="6D93B715"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35,123 </w:t>
            </w:r>
          </w:p>
        </w:tc>
        <w:tc>
          <w:tcPr>
            <w:tcW w:w="477" w:type="pct"/>
            <w:tcBorders>
              <w:top w:val="single" w:sz="4" w:space="0" w:color="293F5B"/>
              <w:left w:val="nil"/>
              <w:bottom w:val="single" w:sz="4" w:space="0" w:color="293F5B"/>
              <w:right w:val="nil"/>
            </w:tcBorders>
            <w:shd w:val="clear" w:color="auto" w:fill="auto"/>
            <w:vAlign w:val="center"/>
            <w:hideMark/>
          </w:tcPr>
          <w:p w14:paraId="6D9654BE" w14:textId="729E5F94"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 </w:t>
            </w:r>
          </w:p>
        </w:tc>
        <w:tc>
          <w:tcPr>
            <w:tcW w:w="53" w:type="pct"/>
            <w:tcBorders>
              <w:top w:val="nil"/>
              <w:left w:val="nil"/>
              <w:bottom w:val="nil"/>
              <w:right w:val="nil"/>
            </w:tcBorders>
            <w:shd w:val="clear" w:color="auto" w:fill="auto"/>
            <w:vAlign w:val="center"/>
            <w:hideMark/>
          </w:tcPr>
          <w:p w14:paraId="3B3DE387" w14:textId="77777777" w:rsidR="000F00CB" w:rsidRPr="00966BD4" w:rsidRDefault="000F00CB" w:rsidP="000F00CB">
            <w:pPr>
              <w:spacing w:before="0" w:after="0" w:line="240" w:lineRule="auto"/>
              <w:jc w:val="right"/>
              <w:rPr>
                <w:rFonts w:ascii="Arial" w:hAnsi="Arial" w:cs="Arial"/>
                <w:b/>
                <w:bCs/>
                <w:sz w:val="16"/>
                <w:szCs w:val="16"/>
              </w:rPr>
            </w:pPr>
          </w:p>
        </w:tc>
        <w:tc>
          <w:tcPr>
            <w:tcW w:w="550" w:type="pct"/>
            <w:tcBorders>
              <w:top w:val="nil"/>
              <w:left w:val="nil"/>
              <w:bottom w:val="single" w:sz="4" w:space="0" w:color="000000"/>
              <w:right w:val="nil"/>
            </w:tcBorders>
            <w:shd w:val="clear" w:color="auto" w:fill="auto"/>
            <w:vAlign w:val="center"/>
            <w:hideMark/>
          </w:tcPr>
          <w:p w14:paraId="504E781A" w14:textId="793D21C5"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 </w:t>
            </w:r>
          </w:p>
        </w:tc>
      </w:tr>
      <w:tr w:rsidR="00B6226B" w:rsidRPr="00966BD4" w14:paraId="5105B3DC"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6FC7082E" w14:textId="5EFB6893"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Receipts at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77" w:type="pct"/>
            <w:tcBorders>
              <w:top w:val="nil"/>
              <w:left w:val="nil"/>
              <w:bottom w:val="nil"/>
              <w:right w:val="nil"/>
            </w:tcBorders>
            <w:shd w:val="clear" w:color="auto" w:fill="auto"/>
            <w:vAlign w:val="center"/>
            <w:hideMark/>
          </w:tcPr>
          <w:p w14:paraId="4191D18F" w14:textId="37DF521C"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607,229 </w:t>
            </w:r>
          </w:p>
        </w:tc>
        <w:tc>
          <w:tcPr>
            <w:tcW w:w="477" w:type="pct"/>
            <w:tcBorders>
              <w:top w:val="nil"/>
              <w:left w:val="nil"/>
              <w:bottom w:val="nil"/>
              <w:right w:val="nil"/>
            </w:tcBorders>
            <w:shd w:val="clear" w:color="000000" w:fill="E6F2FF"/>
            <w:vAlign w:val="center"/>
            <w:hideMark/>
          </w:tcPr>
          <w:p w14:paraId="122136BD" w14:textId="613341ED"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621,441 </w:t>
            </w:r>
          </w:p>
        </w:tc>
        <w:tc>
          <w:tcPr>
            <w:tcW w:w="477" w:type="pct"/>
            <w:tcBorders>
              <w:top w:val="nil"/>
              <w:left w:val="nil"/>
              <w:bottom w:val="nil"/>
              <w:right w:val="nil"/>
            </w:tcBorders>
            <w:shd w:val="clear" w:color="auto" w:fill="auto"/>
            <w:vAlign w:val="center"/>
            <w:hideMark/>
          </w:tcPr>
          <w:p w14:paraId="1F3DB7B2" w14:textId="55D640CB"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642,840 </w:t>
            </w:r>
          </w:p>
        </w:tc>
        <w:tc>
          <w:tcPr>
            <w:tcW w:w="477" w:type="pct"/>
            <w:tcBorders>
              <w:top w:val="nil"/>
              <w:left w:val="nil"/>
              <w:bottom w:val="nil"/>
              <w:right w:val="nil"/>
            </w:tcBorders>
            <w:shd w:val="clear" w:color="auto" w:fill="auto"/>
            <w:vAlign w:val="center"/>
            <w:hideMark/>
          </w:tcPr>
          <w:p w14:paraId="1DBCE2A3" w14:textId="372A4D55"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679,023 </w:t>
            </w:r>
          </w:p>
        </w:tc>
        <w:tc>
          <w:tcPr>
            <w:tcW w:w="477" w:type="pct"/>
            <w:tcBorders>
              <w:top w:val="nil"/>
              <w:left w:val="nil"/>
              <w:bottom w:val="nil"/>
              <w:right w:val="nil"/>
            </w:tcBorders>
            <w:shd w:val="clear" w:color="auto" w:fill="auto"/>
            <w:vAlign w:val="center"/>
            <w:hideMark/>
          </w:tcPr>
          <w:p w14:paraId="724F38D1" w14:textId="3A6BDE2F"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707,875 </w:t>
            </w:r>
          </w:p>
        </w:tc>
        <w:tc>
          <w:tcPr>
            <w:tcW w:w="53" w:type="pct"/>
            <w:tcBorders>
              <w:top w:val="nil"/>
              <w:left w:val="nil"/>
              <w:bottom w:val="nil"/>
              <w:right w:val="nil"/>
            </w:tcBorders>
            <w:shd w:val="clear" w:color="auto" w:fill="auto"/>
            <w:vAlign w:val="center"/>
            <w:hideMark/>
          </w:tcPr>
          <w:p w14:paraId="64438D34" w14:textId="77777777" w:rsidR="000F00CB" w:rsidRPr="00966BD4" w:rsidRDefault="000F00CB" w:rsidP="000F00CB">
            <w:pPr>
              <w:spacing w:before="0" w:after="0" w:line="240" w:lineRule="auto"/>
              <w:jc w:val="right"/>
              <w:rPr>
                <w:rFonts w:ascii="Arial" w:hAnsi="Arial" w:cs="Arial"/>
                <w:b/>
                <w:bCs/>
                <w:sz w:val="16"/>
                <w:szCs w:val="16"/>
              </w:rPr>
            </w:pPr>
          </w:p>
        </w:tc>
        <w:tc>
          <w:tcPr>
            <w:tcW w:w="550" w:type="pct"/>
            <w:tcBorders>
              <w:top w:val="nil"/>
              <w:left w:val="nil"/>
              <w:bottom w:val="nil"/>
              <w:right w:val="nil"/>
            </w:tcBorders>
            <w:shd w:val="clear" w:color="auto" w:fill="auto"/>
            <w:vAlign w:val="center"/>
            <w:hideMark/>
          </w:tcPr>
          <w:p w14:paraId="0E8CF7A8" w14:textId="0979FD71"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3,258,408 </w:t>
            </w:r>
          </w:p>
        </w:tc>
      </w:tr>
      <w:tr w:rsidR="00B6226B" w:rsidRPr="00966BD4" w14:paraId="5A5109A9" w14:textId="77777777" w:rsidTr="000F00CB">
        <w:trPr>
          <w:divId w:val="1982076922"/>
          <w:trHeight w:hRule="exact" w:val="60"/>
        </w:trPr>
        <w:tc>
          <w:tcPr>
            <w:tcW w:w="2012" w:type="pct"/>
            <w:tcBorders>
              <w:top w:val="nil"/>
              <w:left w:val="nil"/>
              <w:bottom w:val="nil"/>
              <w:right w:val="nil"/>
            </w:tcBorders>
            <w:shd w:val="clear" w:color="auto" w:fill="auto"/>
            <w:vAlign w:val="center"/>
            <w:hideMark/>
          </w:tcPr>
          <w:p w14:paraId="62D1D1DE" w14:textId="77777777" w:rsidR="000F00CB" w:rsidRPr="00966BD4" w:rsidRDefault="000F00CB" w:rsidP="000F00CB">
            <w:pPr>
              <w:spacing w:before="0" w:after="0" w:line="240" w:lineRule="auto"/>
              <w:jc w:val="right"/>
              <w:rPr>
                <w:rFonts w:ascii="Arial" w:hAnsi="Arial" w:cs="Arial"/>
                <w:b/>
                <w:bCs/>
                <w:sz w:val="16"/>
                <w:szCs w:val="16"/>
              </w:rPr>
            </w:pPr>
          </w:p>
        </w:tc>
        <w:tc>
          <w:tcPr>
            <w:tcW w:w="477" w:type="pct"/>
            <w:tcBorders>
              <w:top w:val="nil"/>
              <w:left w:val="nil"/>
              <w:bottom w:val="nil"/>
              <w:right w:val="nil"/>
            </w:tcBorders>
            <w:shd w:val="clear" w:color="auto" w:fill="auto"/>
            <w:noWrap/>
            <w:vAlign w:val="bottom"/>
            <w:hideMark/>
          </w:tcPr>
          <w:p w14:paraId="266D0E69" w14:textId="77777777" w:rsidR="000F00CB" w:rsidRPr="00966BD4" w:rsidRDefault="000F00CB" w:rsidP="000F00CB">
            <w:pPr>
              <w:spacing w:before="0" w:after="0" w:line="240" w:lineRule="auto"/>
              <w:jc w:val="right"/>
              <w:rPr>
                <w:rFonts w:ascii="Times New Roman" w:hAnsi="Times New Roman"/>
                <w:sz w:val="20"/>
              </w:rPr>
            </w:pPr>
          </w:p>
        </w:tc>
        <w:tc>
          <w:tcPr>
            <w:tcW w:w="477" w:type="pct"/>
            <w:tcBorders>
              <w:top w:val="nil"/>
              <w:left w:val="nil"/>
              <w:bottom w:val="nil"/>
              <w:right w:val="nil"/>
            </w:tcBorders>
            <w:shd w:val="clear" w:color="000000" w:fill="E6F2FF"/>
            <w:noWrap/>
            <w:vAlign w:val="bottom"/>
            <w:hideMark/>
          </w:tcPr>
          <w:p w14:paraId="40CEA70A"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nil"/>
              <w:right w:val="nil"/>
            </w:tcBorders>
            <w:shd w:val="clear" w:color="auto" w:fill="auto"/>
            <w:noWrap/>
            <w:vAlign w:val="bottom"/>
            <w:hideMark/>
          </w:tcPr>
          <w:p w14:paraId="52EAFCC1" w14:textId="77777777" w:rsidR="000F00CB" w:rsidRPr="00966BD4" w:rsidRDefault="000F00CB" w:rsidP="000F00CB">
            <w:pPr>
              <w:spacing w:before="0" w:after="0" w:line="240" w:lineRule="auto"/>
              <w:rPr>
                <w:rFonts w:ascii="Arial" w:hAnsi="Arial" w:cs="Arial"/>
                <w:sz w:val="16"/>
                <w:szCs w:val="16"/>
              </w:rPr>
            </w:pPr>
          </w:p>
        </w:tc>
        <w:tc>
          <w:tcPr>
            <w:tcW w:w="477" w:type="pct"/>
            <w:tcBorders>
              <w:top w:val="nil"/>
              <w:left w:val="nil"/>
              <w:bottom w:val="nil"/>
              <w:right w:val="nil"/>
            </w:tcBorders>
            <w:shd w:val="clear" w:color="auto" w:fill="auto"/>
            <w:noWrap/>
            <w:vAlign w:val="bottom"/>
            <w:hideMark/>
          </w:tcPr>
          <w:p w14:paraId="1BEF54F4"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479ACA24"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noWrap/>
            <w:vAlign w:val="bottom"/>
            <w:hideMark/>
          </w:tcPr>
          <w:p w14:paraId="18499515"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noWrap/>
            <w:vAlign w:val="bottom"/>
            <w:hideMark/>
          </w:tcPr>
          <w:p w14:paraId="59E8FD7A" w14:textId="77777777" w:rsidR="000F00CB" w:rsidRPr="00966BD4" w:rsidRDefault="000F00CB" w:rsidP="000F00CB">
            <w:pPr>
              <w:spacing w:before="0" w:after="0" w:line="240" w:lineRule="auto"/>
              <w:rPr>
                <w:rFonts w:ascii="Times New Roman" w:hAnsi="Times New Roman"/>
                <w:sz w:val="20"/>
              </w:rPr>
            </w:pPr>
          </w:p>
        </w:tc>
      </w:tr>
      <w:tr w:rsidR="00B6226B" w:rsidRPr="00966BD4" w14:paraId="0EBCE658"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71EC7826" w14:textId="6B713FE6"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Changes from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77" w:type="pct"/>
            <w:tcBorders>
              <w:top w:val="nil"/>
              <w:left w:val="nil"/>
              <w:bottom w:val="nil"/>
              <w:right w:val="nil"/>
            </w:tcBorders>
            <w:shd w:val="clear" w:color="auto" w:fill="auto"/>
            <w:noWrap/>
            <w:vAlign w:val="bottom"/>
            <w:hideMark/>
          </w:tcPr>
          <w:p w14:paraId="17CA4F41" w14:textId="77777777" w:rsidR="000F00CB" w:rsidRPr="00966BD4" w:rsidRDefault="000F00CB" w:rsidP="000F00CB">
            <w:pPr>
              <w:spacing w:before="0" w:after="0" w:line="240" w:lineRule="auto"/>
              <w:rPr>
                <w:rFonts w:ascii="Arial" w:hAnsi="Arial" w:cs="Arial"/>
                <w:b/>
                <w:bCs/>
                <w:sz w:val="16"/>
                <w:szCs w:val="16"/>
              </w:rPr>
            </w:pPr>
          </w:p>
        </w:tc>
        <w:tc>
          <w:tcPr>
            <w:tcW w:w="477" w:type="pct"/>
            <w:tcBorders>
              <w:top w:val="nil"/>
              <w:left w:val="nil"/>
              <w:bottom w:val="nil"/>
              <w:right w:val="nil"/>
            </w:tcBorders>
            <w:shd w:val="clear" w:color="000000" w:fill="E6F2FF"/>
            <w:noWrap/>
            <w:vAlign w:val="bottom"/>
            <w:hideMark/>
          </w:tcPr>
          <w:p w14:paraId="474F376C"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nil"/>
              <w:right w:val="nil"/>
            </w:tcBorders>
            <w:shd w:val="clear" w:color="auto" w:fill="auto"/>
            <w:noWrap/>
            <w:vAlign w:val="bottom"/>
            <w:hideMark/>
          </w:tcPr>
          <w:p w14:paraId="450DF6A9" w14:textId="77777777" w:rsidR="000F00CB" w:rsidRPr="00966BD4" w:rsidRDefault="000F00CB" w:rsidP="000F00CB">
            <w:pPr>
              <w:spacing w:before="0" w:after="0" w:line="240" w:lineRule="auto"/>
              <w:rPr>
                <w:rFonts w:ascii="Arial" w:hAnsi="Arial" w:cs="Arial"/>
                <w:sz w:val="16"/>
                <w:szCs w:val="16"/>
              </w:rPr>
            </w:pPr>
          </w:p>
        </w:tc>
        <w:tc>
          <w:tcPr>
            <w:tcW w:w="477" w:type="pct"/>
            <w:tcBorders>
              <w:top w:val="nil"/>
              <w:left w:val="nil"/>
              <w:bottom w:val="nil"/>
              <w:right w:val="nil"/>
            </w:tcBorders>
            <w:shd w:val="clear" w:color="auto" w:fill="auto"/>
            <w:noWrap/>
            <w:vAlign w:val="bottom"/>
            <w:hideMark/>
          </w:tcPr>
          <w:p w14:paraId="43BC95B9"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34C8BC5D"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noWrap/>
            <w:vAlign w:val="bottom"/>
            <w:hideMark/>
          </w:tcPr>
          <w:p w14:paraId="13EF13AE"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noWrap/>
            <w:vAlign w:val="bottom"/>
            <w:hideMark/>
          </w:tcPr>
          <w:p w14:paraId="55D2B029" w14:textId="77777777" w:rsidR="000F00CB" w:rsidRPr="00966BD4" w:rsidRDefault="000F00CB" w:rsidP="000F00CB">
            <w:pPr>
              <w:spacing w:before="0" w:after="0" w:line="240" w:lineRule="auto"/>
              <w:rPr>
                <w:rFonts w:ascii="Times New Roman" w:hAnsi="Times New Roman"/>
                <w:sz w:val="20"/>
              </w:rPr>
            </w:pPr>
          </w:p>
        </w:tc>
      </w:tr>
      <w:tr w:rsidR="00B6226B" w:rsidRPr="00966BD4" w14:paraId="4FF68C95"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7FDD8273" w14:textId="7F011BE9" w:rsidR="000F00CB" w:rsidRPr="00966BD4" w:rsidRDefault="000F00CB" w:rsidP="000F00CB">
            <w:pPr>
              <w:spacing w:before="0" w:after="0" w:line="240" w:lineRule="auto"/>
              <w:ind w:left="170"/>
              <w:rPr>
                <w:rFonts w:ascii="Arial" w:hAnsi="Arial" w:cs="Arial"/>
                <w:b/>
                <w:bCs/>
                <w:sz w:val="16"/>
                <w:szCs w:val="16"/>
              </w:rPr>
            </w:pPr>
            <w:r w:rsidRPr="00966BD4">
              <w:rPr>
                <w:rFonts w:ascii="Arial" w:hAnsi="Arial" w:cs="Arial"/>
                <w:b/>
                <w:bCs/>
                <w:sz w:val="16"/>
                <w:szCs w:val="16"/>
              </w:rPr>
              <w:t>to 2023</w:t>
            </w:r>
            <w:r w:rsidR="001B77CF">
              <w:rPr>
                <w:rFonts w:ascii="Arial" w:hAnsi="Arial" w:cs="Arial"/>
                <w:b/>
                <w:bCs/>
                <w:sz w:val="16"/>
                <w:szCs w:val="16"/>
              </w:rPr>
              <w:noBreakHyphen/>
            </w:r>
            <w:r w:rsidRPr="00966BD4">
              <w:rPr>
                <w:rFonts w:ascii="Arial" w:hAnsi="Arial" w:cs="Arial"/>
                <w:b/>
                <w:bCs/>
                <w:sz w:val="16"/>
                <w:szCs w:val="16"/>
              </w:rPr>
              <w:t>24 Budget </w:t>
            </w:r>
          </w:p>
        </w:tc>
        <w:tc>
          <w:tcPr>
            <w:tcW w:w="477" w:type="pct"/>
            <w:tcBorders>
              <w:top w:val="nil"/>
              <w:left w:val="nil"/>
              <w:bottom w:val="nil"/>
              <w:right w:val="nil"/>
            </w:tcBorders>
            <w:shd w:val="clear" w:color="auto" w:fill="auto"/>
            <w:noWrap/>
            <w:vAlign w:val="bottom"/>
            <w:hideMark/>
          </w:tcPr>
          <w:p w14:paraId="6FE276BA" w14:textId="77777777" w:rsidR="000F00CB" w:rsidRPr="00966BD4" w:rsidRDefault="000F00CB" w:rsidP="000F00CB">
            <w:pPr>
              <w:spacing w:before="0" w:after="0" w:line="240" w:lineRule="auto"/>
              <w:ind w:firstLineChars="100" w:firstLine="161"/>
              <w:rPr>
                <w:rFonts w:ascii="Arial" w:hAnsi="Arial" w:cs="Arial"/>
                <w:b/>
                <w:bCs/>
                <w:sz w:val="16"/>
                <w:szCs w:val="16"/>
              </w:rPr>
            </w:pPr>
          </w:p>
        </w:tc>
        <w:tc>
          <w:tcPr>
            <w:tcW w:w="477" w:type="pct"/>
            <w:tcBorders>
              <w:top w:val="nil"/>
              <w:left w:val="nil"/>
              <w:bottom w:val="nil"/>
              <w:right w:val="nil"/>
            </w:tcBorders>
            <w:shd w:val="clear" w:color="000000" w:fill="E6F2FF"/>
            <w:noWrap/>
            <w:vAlign w:val="bottom"/>
            <w:hideMark/>
          </w:tcPr>
          <w:p w14:paraId="5DF1AEA3"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nil"/>
              <w:right w:val="nil"/>
            </w:tcBorders>
            <w:shd w:val="clear" w:color="auto" w:fill="auto"/>
            <w:noWrap/>
            <w:vAlign w:val="bottom"/>
            <w:hideMark/>
          </w:tcPr>
          <w:p w14:paraId="1BC580CE" w14:textId="77777777" w:rsidR="000F00CB" w:rsidRPr="00966BD4" w:rsidRDefault="000F00CB" w:rsidP="000F00CB">
            <w:pPr>
              <w:spacing w:before="0" w:after="0" w:line="240" w:lineRule="auto"/>
              <w:rPr>
                <w:rFonts w:ascii="Arial" w:hAnsi="Arial" w:cs="Arial"/>
                <w:sz w:val="16"/>
                <w:szCs w:val="16"/>
              </w:rPr>
            </w:pPr>
          </w:p>
        </w:tc>
        <w:tc>
          <w:tcPr>
            <w:tcW w:w="477" w:type="pct"/>
            <w:tcBorders>
              <w:top w:val="nil"/>
              <w:left w:val="nil"/>
              <w:bottom w:val="nil"/>
              <w:right w:val="nil"/>
            </w:tcBorders>
            <w:shd w:val="clear" w:color="auto" w:fill="auto"/>
            <w:noWrap/>
            <w:vAlign w:val="bottom"/>
            <w:hideMark/>
          </w:tcPr>
          <w:p w14:paraId="02EB0D4C"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0E69C167"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noWrap/>
            <w:vAlign w:val="bottom"/>
            <w:hideMark/>
          </w:tcPr>
          <w:p w14:paraId="0A2D4705"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noWrap/>
            <w:vAlign w:val="bottom"/>
            <w:hideMark/>
          </w:tcPr>
          <w:p w14:paraId="060A3096" w14:textId="77777777" w:rsidR="000F00CB" w:rsidRPr="00966BD4" w:rsidRDefault="000F00CB" w:rsidP="000F00CB">
            <w:pPr>
              <w:spacing w:before="0" w:after="0" w:line="240" w:lineRule="auto"/>
              <w:rPr>
                <w:rFonts w:ascii="Times New Roman" w:hAnsi="Times New Roman"/>
                <w:sz w:val="20"/>
              </w:rPr>
            </w:pPr>
          </w:p>
        </w:tc>
      </w:tr>
      <w:tr w:rsidR="00B6226B" w:rsidRPr="00966BD4" w14:paraId="23CB7F7B"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407C22C5"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Effect of policy decisions </w:t>
            </w:r>
          </w:p>
        </w:tc>
        <w:tc>
          <w:tcPr>
            <w:tcW w:w="477" w:type="pct"/>
            <w:tcBorders>
              <w:top w:val="nil"/>
              <w:left w:val="nil"/>
              <w:bottom w:val="nil"/>
              <w:right w:val="nil"/>
            </w:tcBorders>
            <w:shd w:val="clear" w:color="auto" w:fill="auto"/>
            <w:vAlign w:val="center"/>
            <w:hideMark/>
          </w:tcPr>
          <w:p w14:paraId="754EB5F5"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125</w:t>
            </w:r>
          </w:p>
        </w:tc>
        <w:tc>
          <w:tcPr>
            <w:tcW w:w="477" w:type="pct"/>
            <w:tcBorders>
              <w:top w:val="nil"/>
              <w:left w:val="nil"/>
              <w:bottom w:val="nil"/>
              <w:right w:val="nil"/>
            </w:tcBorders>
            <w:shd w:val="clear" w:color="000000" w:fill="E6F2FF"/>
            <w:vAlign w:val="center"/>
            <w:hideMark/>
          </w:tcPr>
          <w:p w14:paraId="67A7626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1,757</w:t>
            </w:r>
          </w:p>
        </w:tc>
        <w:tc>
          <w:tcPr>
            <w:tcW w:w="477" w:type="pct"/>
            <w:tcBorders>
              <w:top w:val="nil"/>
              <w:left w:val="nil"/>
              <w:bottom w:val="nil"/>
              <w:right w:val="nil"/>
            </w:tcBorders>
            <w:shd w:val="clear" w:color="auto" w:fill="auto"/>
            <w:vAlign w:val="center"/>
            <w:hideMark/>
          </w:tcPr>
          <w:p w14:paraId="1B76E090"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5,378</w:t>
            </w:r>
          </w:p>
        </w:tc>
        <w:tc>
          <w:tcPr>
            <w:tcW w:w="477" w:type="pct"/>
            <w:tcBorders>
              <w:top w:val="nil"/>
              <w:left w:val="nil"/>
              <w:bottom w:val="nil"/>
              <w:right w:val="nil"/>
            </w:tcBorders>
            <w:shd w:val="clear" w:color="auto" w:fill="auto"/>
            <w:vAlign w:val="center"/>
            <w:hideMark/>
          </w:tcPr>
          <w:p w14:paraId="3A91B14E"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6,413</w:t>
            </w:r>
          </w:p>
        </w:tc>
        <w:tc>
          <w:tcPr>
            <w:tcW w:w="477" w:type="pct"/>
            <w:tcBorders>
              <w:top w:val="nil"/>
              <w:left w:val="nil"/>
              <w:bottom w:val="nil"/>
              <w:right w:val="nil"/>
            </w:tcBorders>
            <w:shd w:val="clear" w:color="auto" w:fill="auto"/>
            <w:vAlign w:val="center"/>
            <w:hideMark/>
          </w:tcPr>
          <w:p w14:paraId="024BD1A2"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8,382</w:t>
            </w:r>
          </w:p>
        </w:tc>
        <w:tc>
          <w:tcPr>
            <w:tcW w:w="53" w:type="pct"/>
            <w:tcBorders>
              <w:top w:val="nil"/>
              <w:left w:val="nil"/>
              <w:bottom w:val="nil"/>
              <w:right w:val="nil"/>
            </w:tcBorders>
            <w:shd w:val="clear" w:color="auto" w:fill="auto"/>
            <w:noWrap/>
            <w:vAlign w:val="bottom"/>
            <w:hideMark/>
          </w:tcPr>
          <w:p w14:paraId="31B5F497"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vAlign w:val="center"/>
            <w:hideMark/>
          </w:tcPr>
          <w:p w14:paraId="2C751C4D" w14:textId="1E594D8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 xml:space="preserve">22,055 </w:t>
            </w:r>
          </w:p>
        </w:tc>
      </w:tr>
      <w:tr w:rsidR="00B6226B" w:rsidRPr="00966BD4" w14:paraId="56AAED99"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50E64C6D"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Effect of parameter and other variations </w:t>
            </w:r>
          </w:p>
        </w:tc>
        <w:tc>
          <w:tcPr>
            <w:tcW w:w="477" w:type="pct"/>
            <w:tcBorders>
              <w:top w:val="nil"/>
              <w:left w:val="nil"/>
              <w:bottom w:val="nil"/>
              <w:right w:val="nil"/>
            </w:tcBorders>
            <w:shd w:val="clear" w:color="auto" w:fill="auto"/>
            <w:vAlign w:val="center"/>
            <w:hideMark/>
          </w:tcPr>
          <w:p w14:paraId="2E0EDB0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28,239</w:t>
            </w:r>
          </w:p>
        </w:tc>
        <w:tc>
          <w:tcPr>
            <w:tcW w:w="477" w:type="pct"/>
            <w:tcBorders>
              <w:top w:val="nil"/>
              <w:left w:val="nil"/>
              <w:bottom w:val="nil"/>
              <w:right w:val="nil"/>
            </w:tcBorders>
            <w:shd w:val="clear" w:color="000000" w:fill="E6F2FF"/>
            <w:vAlign w:val="center"/>
            <w:hideMark/>
          </w:tcPr>
          <w:p w14:paraId="0AF53E77"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44,944</w:t>
            </w:r>
          </w:p>
        </w:tc>
        <w:tc>
          <w:tcPr>
            <w:tcW w:w="477" w:type="pct"/>
            <w:tcBorders>
              <w:top w:val="nil"/>
              <w:left w:val="nil"/>
              <w:bottom w:val="nil"/>
              <w:right w:val="nil"/>
            </w:tcBorders>
            <w:shd w:val="clear" w:color="auto" w:fill="auto"/>
            <w:vAlign w:val="center"/>
            <w:hideMark/>
          </w:tcPr>
          <w:p w14:paraId="7D6A0111"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23,020</w:t>
            </w:r>
          </w:p>
        </w:tc>
        <w:tc>
          <w:tcPr>
            <w:tcW w:w="477" w:type="pct"/>
            <w:tcBorders>
              <w:top w:val="nil"/>
              <w:left w:val="nil"/>
              <w:bottom w:val="nil"/>
              <w:right w:val="nil"/>
            </w:tcBorders>
            <w:shd w:val="clear" w:color="auto" w:fill="auto"/>
            <w:vAlign w:val="center"/>
            <w:hideMark/>
          </w:tcPr>
          <w:p w14:paraId="66B7DEF6"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15,486</w:t>
            </w:r>
          </w:p>
        </w:tc>
        <w:tc>
          <w:tcPr>
            <w:tcW w:w="477" w:type="pct"/>
            <w:tcBorders>
              <w:top w:val="nil"/>
              <w:left w:val="nil"/>
              <w:bottom w:val="nil"/>
              <w:right w:val="nil"/>
            </w:tcBorders>
            <w:shd w:val="clear" w:color="auto" w:fill="auto"/>
            <w:vAlign w:val="center"/>
            <w:hideMark/>
          </w:tcPr>
          <w:p w14:paraId="36F171E3" w14:textId="7777777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18,862</w:t>
            </w:r>
          </w:p>
        </w:tc>
        <w:tc>
          <w:tcPr>
            <w:tcW w:w="53" w:type="pct"/>
            <w:tcBorders>
              <w:top w:val="nil"/>
              <w:left w:val="nil"/>
              <w:bottom w:val="nil"/>
              <w:right w:val="nil"/>
            </w:tcBorders>
            <w:shd w:val="clear" w:color="auto" w:fill="auto"/>
            <w:noWrap/>
            <w:vAlign w:val="bottom"/>
            <w:hideMark/>
          </w:tcPr>
          <w:p w14:paraId="67AAE83B" w14:textId="77777777" w:rsidR="000F00CB" w:rsidRPr="00966BD4" w:rsidRDefault="000F00CB" w:rsidP="000F00CB">
            <w:pPr>
              <w:spacing w:before="0"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vAlign w:val="center"/>
            <w:hideMark/>
          </w:tcPr>
          <w:p w14:paraId="229C0650" w14:textId="11360A67" w:rsidR="000F00CB" w:rsidRPr="00966BD4" w:rsidRDefault="000F00CB" w:rsidP="000F00CB">
            <w:pPr>
              <w:spacing w:before="0" w:after="0" w:line="240" w:lineRule="auto"/>
              <w:jc w:val="right"/>
              <w:rPr>
                <w:rFonts w:ascii="Arial" w:hAnsi="Arial" w:cs="Arial"/>
                <w:sz w:val="16"/>
                <w:szCs w:val="16"/>
              </w:rPr>
            </w:pPr>
            <w:r w:rsidRPr="00966BD4">
              <w:rPr>
                <w:rFonts w:ascii="Arial" w:hAnsi="Arial" w:cs="Arial"/>
                <w:sz w:val="16"/>
                <w:szCs w:val="16"/>
              </w:rPr>
              <w:t xml:space="preserve">130,551 </w:t>
            </w:r>
          </w:p>
        </w:tc>
      </w:tr>
      <w:tr w:rsidR="00B6226B" w:rsidRPr="00966BD4" w14:paraId="1B1AFED5" w14:textId="77777777" w:rsidTr="000F00CB">
        <w:trPr>
          <w:divId w:val="1982076922"/>
          <w:trHeight w:hRule="exact" w:val="225"/>
        </w:trPr>
        <w:tc>
          <w:tcPr>
            <w:tcW w:w="2012" w:type="pct"/>
            <w:tcBorders>
              <w:top w:val="nil"/>
              <w:left w:val="nil"/>
              <w:bottom w:val="nil"/>
              <w:right w:val="nil"/>
            </w:tcBorders>
            <w:shd w:val="clear" w:color="auto" w:fill="auto"/>
            <w:vAlign w:val="center"/>
            <w:hideMark/>
          </w:tcPr>
          <w:p w14:paraId="7669EBCF" w14:textId="77777777"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Total variations </w:t>
            </w:r>
          </w:p>
        </w:tc>
        <w:tc>
          <w:tcPr>
            <w:tcW w:w="477" w:type="pct"/>
            <w:tcBorders>
              <w:top w:val="single" w:sz="4" w:space="0" w:color="293F5B"/>
              <w:left w:val="nil"/>
              <w:bottom w:val="single" w:sz="4" w:space="0" w:color="293F5B"/>
              <w:right w:val="nil"/>
            </w:tcBorders>
            <w:shd w:val="clear" w:color="auto" w:fill="auto"/>
            <w:vAlign w:val="center"/>
            <w:hideMark/>
          </w:tcPr>
          <w:p w14:paraId="58884D3F" w14:textId="7FCA9C4B"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28,364 </w:t>
            </w:r>
          </w:p>
        </w:tc>
        <w:tc>
          <w:tcPr>
            <w:tcW w:w="477" w:type="pct"/>
            <w:tcBorders>
              <w:top w:val="single" w:sz="4" w:space="0" w:color="293F5B"/>
              <w:left w:val="nil"/>
              <w:bottom w:val="single" w:sz="4" w:space="0" w:color="293F5B"/>
              <w:right w:val="nil"/>
            </w:tcBorders>
            <w:shd w:val="clear" w:color="000000" w:fill="E6F2FF"/>
            <w:vAlign w:val="center"/>
            <w:hideMark/>
          </w:tcPr>
          <w:p w14:paraId="00085D35" w14:textId="585AD3A1"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46,701 </w:t>
            </w:r>
          </w:p>
        </w:tc>
        <w:tc>
          <w:tcPr>
            <w:tcW w:w="477" w:type="pct"/>
            <w:tcBorders>
              <w:top w:val="single" w:sz="4" w:space="0" w:color="293F5B"/>
              <w:left w:val="nil"/>
              <w:bottom w:val="single" w:sz="4" w:space="0" w:color="293F5B"/>
              <w:right w:val="nil"/>
            </w:tcBorders>
            <w:shd w:val="clear" w:color="auto" w:fill="auto"/>
            <w:vAlign w:val="center"/>
            <w:hideMark/>
          </w:tcPr>
          <w:p w14:paraId="5BEC5C45" w14:textId="5294D8D4"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28,398 </w:t>
            </w:r>
          </w:p>
        </w:tc>
        <w:tc>
          <w:tcPr>
            <w:tcW w:w="477" w:type="pct"/>
            <w:tcBorders>
              <w:top w:val="single" w:sz="4" w:space="0" w:color="293F5B"/>
              <w:left w:val="nil"/>
              <w:bottom w:val="single" w:sz="4" w:space="0" w:color="293F5B"/>
              <w:right w:val="nil"/>
            </w:tcBorders>
            <w:shd w:val="clear" w:color="auto" w:fill="auto"/>
            <w:vAlign w:val="center"/>
            <w:hideMark/>
          </w:tcPr>
          <w:p w14:paraId="159CAEBE" w14:textId="7CFE77C9"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21,899 </w:t>
            </w:r>
          </w:p>
        </w:tc>
        <w:tc>
          <w:tcPr>
            <w:tcW w:w="477" w:type="pct"/>
            <w:tcBorders>
              <w:top w:val="single" w:sz="4" w:space="0" w:color="293F5B"/>
              <w:left w:val="nil"/>
              <w:bottom w:val="single" w:sz="4" w:space="0" w:color="293F5B"/>
              <w:right w:val="nil"/>
            </w:tcBorders>
            <w:shd w:val="clear" w:color="auto" w:fill="auto"/>
            <w:vAlign w:val="center"/>
            <w:hideMark/>
          </w:tcPr>
          <w:p w14:paraId="36E870D0" w14:textId="2BD7A4D5"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27,244 </w:t>
            </w:r>
          </w:p>
        </w:tc>
        <w:tc>
          <w:tcPr>
            <w:tcW w:w="53" w:type="pct"/>
            <w:tcBorders>
              <w:top w:val="nil"/>
              <w:left w:val="nil"/>
              <w:bottom w:val="nil"/>
              <w:right w:val="nil"/>
            </w:tcBorders>
            <w:shd w:val="clear" w:color="auto" w:fill="auto"/>
            <w:noWrap/>
            <w:vAlign w:val="bottom"/>
            <w:hideMark/>
          </w:tcPr>
          <w:p w14:paraId="0E3CA179" w14:textId="77777777" w:rsidR="000F00CB" w:rsidRPr="00966BD4" w:rsidRDefault="000F00CB" w:rsidP="000F00CB">
            <w:pPr>
              <w:spacing w:before="0" w:after="0" w:line="240" w:lineRule="auto"/>
              <w:jc w:val="right"/>
              <w:rPr>
                <w:rFonts w:ascii="Arial" w:hAnsi="Arial" w:cs="Arial"/>
                <w:b/>
                <w:bCs/>
                <w:sz w:val="16"/>
                <w:szCs w:val="16"/>
              </w:rPr>
            </w:pPr>
          </w:p>
        </w:tc>
        <w:tc>
          <w:tcPr>
            <w:tcW w:w="550" w:type="pct"/>
            <w:tcBorders>
              <w:top w:val="single" w:sz="4" w:space="0" w:color="293F5B"/>
              <w:left w:val="nil"/>
              <w:bottom w:val="single" w:sz="4" w:space="0" w:color="293F5B"/>
              <w:right w:val="nil"/>
            </w:tcBorders>
            <w:shd w:val="clear" w:color="auto" w:fill="auto"/>
            <w:vAlign w:val="center"/>
            <w:hideMark/>
          </w:tcPr>
          <w:p w14:paraId="470B647E" w14:textId="17ECD9B4"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152,606 </w:t>
            </w:r>
          </w:p>
        </w:tc>
      </w:tr>
      <w:tr w:rsidR="00B6226B" w:rsidRPr="00966BD4" w14:paraId="6CDB01FF" w14:textId="77777777" w:rsidTr="000F00CB">
        <w:trPr>
          <w:divId w:val="1982076922"/>
          <w:trHeight w:hRule="exact" w:val="60"/>
        </w:trPr>
        <w:tc>
          <w:tcPr>
            <w:tcW w:w="2012" w:type="pct"/>
            <w:tcBorders>
              <w:top w:val="nil"/>
              <w:left w:val="nil"/>
              <w:bottom w:val="nil"/>
              <w:right w:val="nil"/>
            </w:tcBorders>
            <w:shd w:val="clear" w:color="auto" w:fill="auto"/>
            <w:vAlign w:val="center"/>
            <w:hideMark/>
          </w:tcPr>
          <w:p w14:paraId="75AEE8AC" w14:textId="77777777" w:rsidR="000F00CB" w:rsidRPr="00966BD4" w:rsidRDefault="000F00CB" w:rsidP="000F00CB">
            <w:pPr>
              <w:spacing w:before="0" w:after="0" w:line="240" w:lineRule="auto"/>
              <w:jc w:val="right"/>
              <w:rPr>
                <w:rFonts w:ascii="Arial" w:hAnsi="Arial" w:cs="Arial"/>
                <w:b/>
                <w:bCs/>
                <w:sz w:val="16"/>
                <w:szCs w:val="16"/>
              </w:rPr>
            </w:pPr>
          </w:p>
        </w:tc>
        <w:tc>
          <w:tcPr>
            <w:tcW w:w="477" w:type="pct"/>
            <w:tcBorders>
              <w:top w:val="nil"/>
              <w:left w:val="nil"/>
              <w:bottom w:val="nil"/>
              <w:right w:val="nil"/>
            </w:tcBorders>
            <w:shd w:val="clear" w:color="auto" w:fill="auto"/>
            <w:noWrap/>
            <w:vAlign w:val="bottom"/>
            <w:hideMark/>
          </w:tcPr>
          <w:p w14:paraId="522110A2"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000000" w:fill="E6F2FF"/>
            <w:noWrap/>
            <w:vAlign w:val="bottom"/>
            <w:hideMark/>
          </w:tcPr>
          <w:p w14:paraId="59880452"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477" w:type="pct"/>
            <w:tcBorders>
              <w:top w:val="nil"/>
              <w:left w:val="nil"/>
              <w:bottom w:val="nil"/>
              <w:right w:val="nil"/>
            </w:tcBorders>
            <w:shd w:val="clear" w:color="auto" w:fill="auto"/>
            <w:noWrap/>
            <w:vAlign w:val="bottom"/>
            <w:hideMark/>
          </w:tcPr>
          <w:p w14:paraId="521AA617" w14:textId="77777777" w:rsidR="000F00CB" w:rsidRPr="00966BD4" w:rsidRDefault="000F00CB" w:rsidP="000F00CB">
            <w:pPr>
              <w:spacing w:before="0" w:after="0" w:line="240" w:lineRule="auto"/>
              <w:rPr>
                <w:rFonts w:ascii="Arial" w:hAnsi="Arial" w:cs="Arial"/>
                <w:sz w:val="16"/>
                <w:szCs w:val="16"/>
              </w:rPr>
            </w:pPr>
          </w:p>
        </w:tc>
        <w:tc>
          <w:tcPr>
            <w:tcW w:w="477" w:type="pct"/>
            <w:tcBorders>
              <w:top w:val="nil"/>
              <w:left w:val="nil"/>
              <w:bottom w:val="nil"/>
              <w:right w:val="nil"/>
            </w:tcBorders>
            <w:shd w:val="clear" w:color="auto" w:fill="auto"/>
            <w:noWrap/>
            <w:vAlign w:val="bottom"/>
            <w:hideMark/>
          </w:tcPr>
          <w:p w14:paraId="63629433" w14:textId="77777777" w:rsidR="000F00CB" w:rsidRPr="00966BD4" w:rsidRDefault="000F00CB" w:rsidP="000F00CB">
            <w:pPr>
              <w:spacing w:before="0" w:after="0" w:line="240" w:lineRule="auto"/>
              <w:rPr>
                <w:rFonts w:ascii="Times New Roman" w:hAnsi="Times New Roman"/>
                <w:sz w:val="20"/>
              </w:rPr>
            </w:pPr>
          </w:p>
        </w:tc>
        <w:tc>
          <w:tcPr>
            <w:tcW w:w="477" w:type="pct"/>
            <w:tcBorders>
              <w:top w:val="nil"/>
              <w:left w:val="nil"/>
              <w:bottom w:val="nil"/>
              <w:right w:val="nil"/>
            </w:tcBorders>
            <w:shd w:val="clear" w:color="auto" w:fill="auto"/>
            <w:noWrap/>
            <w:vAlign w:val="bottom"/>
            <w:hideMark/>
          </w:tcPr>
          <w:p w14:paraId="57DC4C2E" w14:textId="77777777" w:rsidR="000F00CB" w:rsidRPr="00966BD4" w:rsidRDefault="000F00CB" w:rsidP="000F00CB">
            <w:pPr>
              <w:spacing w:before="0" w:after="0" w:line="240" w:lineRule="auto"/>
              <w:rPr>
                <w:rFonts w:ascii="Times New Roman" w:hAnsi="Times New Roman"/>
                <w:sz w:val="20"/>
              </w:rPr>
            </w:pPr>
          </w:p>
        </w:tc>
        <w:tc>
          <w:tcPr>
            <w:tcW w:w="53" w:type="pct"/>
            <w:tcBorders>
              <w:top w:val="nil"/>
              <w:left w:val="nil"/>
              <w:bottom w:val="nil"/>
              <w:right w:val="nil"/>
            </w:tcBorders>
            <w:shd w:val="clear" w:color="auto" w:fill="auto"/>
            <w:noWrap/>
            <w:vAlign w:val="bottom"/>
            <w:hideMark/>
          </w:tcPr>
          <w:p w14:paraId="396370E1" w14:textId="77777777" w:rsidR="000F00CB" w:rsidRPr="00966BD4" w:rsidRDefault="000F00CB" w:rsidP="000F00CB">
            <w:pPr>
              <w:spacing w:before="0" w:after="0" w:line="240" w:lineRule="auto"/>
              <w:rPr>
                <w:rFonts w:ascii="Times New Roman" w:hAnsi="Times New Roman"/>
                <w:sz w:val="20"/>
              </w:rPr>
            </w:pPr>
          </w:p>
        </w:tc>
        <w:tc>
          <w:tcPr>
            <w:tcW w:w="550" w:type="pct"/>
            <w:tcBorders>
              <w:top w:val="nil"/>
              <w:left w:val="nil"/>
              <w:bottom w:val="nil"/>
              <w:right w:val="nil"/>
            </w:tcBorders>
            <w:shd w:val="clear" w:color="auto" w:fill="auto"/>
            <w:noWrap/>
            <w:vAlign w:val="bottom"/>
            <w:hideMark/>
          </w:tcPr>
          <w:p w14:paraId="36EE3E5B" w14:textId="77777777" w:rsidR="000F00CB" w:rsidRPr="00966BD4" w:rsidRDefault="000F00CB" w:rsidP="000F00CB">
            <w:pPr>
              <w:spacing w:before="0" w:after="0" w:line="240" w:lineRule="auto"/>
              <w:rPr>
                <w:rFonts w:ascii="Times New Roman" w:hAnsi="Times New Roman"/>
                <w:sz w:val="20"/>
              </w:rPr>
            </w:pPr>
          </w:p>
        </w:tc>
      </w:tr>
      <w:tr w:rsidR="00B6226B" w:rsidRPr="00966BD4" w14:paraId="480E02D3" w14:textId="77777777" w:rsidTr="000F00CB">
        <w:trPr>
          <w:divId w:val="1982076922"/>
          <w:trHeight w:hRule="exact" w:val="225"/>
        </w:trPr>
        <w:tc>
          <w:tcPr>
            <w:tcW w:w="2012" w:type="pct"/>
            <w:tcBorders>
              <w:top w:val="nil"/>
              <w:left w:val="nil"/>
              <w:bottom w:val="single" w:sz="4" w:space="0" w:color="293F5B"/>
              <w:right w:val="nil"/>
            </w:tcBorders>
            <w:shd w:val="clear" w:color="auto" w:fill="auto"/>
            <w:vAlign w:val="center"/>
            <w:hideMark/>
          </w:tcPr>
          <w:p w14:paraId="28E884C8" w14:textId="4589124E" w:rsidR="000F00CB" w:rsidRPr="00966BD4" w:rsidRDefault="000F00CB" w:rsidP="000F00CB">
            <w:pPr>
              <w:spacing w:before="0" w:after="0" w:line="240" w:lineRule="auto"/>
              <w:rPr>
                <w:rFonts w:ascii="Arial" w:hAnsi="Arial" w:cs="Arial"/>
                <w:b/>
                <w:bCs/>
                <w:sz w:val="16"/>
                <w:szCs w:val="16"/>
              </w:rPr>
            </w:pPr>
            <w:r w:rsidRPr="00966BD4">
              <w:rPr>
                <w:rFonts w:ascii="Arial" w:hAnsi="Arial" w:cs="Arial"/>
                <w:b/>
                <w:bCs/>
                <w:sz w:val="16"/>
                <w:szCs w:val="16"/>
              </w:rPr>
              <w:t xml:space="preserve">Receipts </w:t>
            </w:r>
            <w:proofErr w:type="gramStart"/>
            <w:r w:rsidRPr="00966BD4">
              <w:rPr>
                <w:rFonts w:ascii="Arial" w:hAnsi="Arial" w:cs="Arial"/>
                <w:b/>
                <w:bCs/>
                <w:sz w:val="16"/>
                <w:szCs w:val="16"/>
              </w:rPr>
              <w:t>at</w:t>
            </w:r>
            <w:proofErr w:type="gramEnd"/>
            <w:r w:rsidRPr="00966BD4">
              <w:rPr>
                <w:rFonts w:ascii="Arial" w:hAnsi="Arial" w:cs="Arial"/>
                <w:b/>
                <w:bCs/>
                <w:sz w:val="16"/>
                <w:szCs w:val="16"/>
              </w:rPr>
              <w:t xml:space="preserve"> 2023</w:t>
            </w:r>
            <w:r w:rsidR="001B77CF">
              <w:rPr>
                <w:rFonts w:ascii="Arial" w:hAnsi="Arial" w:cs="Arial"/>
                <w:b/>
                <w:bCs/>
                <w:sz w:val="16"/>
                <w:szCs w:val="16"/>
              </w:rPr>
              <w:noBreakHyphen/>
            </w:r>
            <w:r w:rsidRPr="00966BD4">
              <w:rPr>
                <w:rFonts w:ascii="Arial" w:hAnsi="Arial" w:cs="Arial"/>
                <w:b/>
                <w:bCs/>
                <w:sz w:val="16"/>
                <w:szCs w:val="16"/>
              </w:rPr>
              <w:t>24 Budget</w:t>
            </w:r>
          </w:p>
        </w:tc>
        <w:tc>
          <w:tcPr>
            <w:tcW w:w="477" w:type="pct"/>
            <w:tcBorders>
              <w:top w:val="nil"/>
              <w:left w:val="nil"/>
              <w:bottom w:val="single" w:sz="4" w:space="0" w:color="293F5B"/>
              <w:right w:val="nil"/>
            </w:tcBorders>
            <w:shd w:val="clear" w:color="auto" w:fill="auto"/>
            <w:vAlign w:val="center"/>
            <w:hideMark/>
          </w:tcPr>
          <w:p w14:paraId="7B3AAAEB" w14:textId="6CB4A07E"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635,593 </w:t>
            </w:r>
          </w:p>
        </w:tc>
        <w:tc>
          <w:tcPr>
            <w:tcW w:w="477" w:type="pct"/>
            <w:tcBorders>
              <w:top w:val="nil"/>
              <w:left w:val="nil"/>
              <w:bottom w:val="single" w:sz="4" w:space="0" w:color="293F5B"/>
              <w:right w:val="nil"/>
            </w:tcBorders>
            <w:shd w:val="clear" w:color="000000" w:fill="E6F2FF"/>
            <w:vAlign w:val="center"/>
            <w:hideMark/>
          </w:tcPr>
          <w:p w14:paraId="14BBF767" w14:textId="43D13492"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668,142 </w:t>
            </w:r>
          </w:p>
        </w:tc>
        <w:tc>
          <w:tcPr>
            <w:tcW w:w="477" w:type="pct"/>
            <w:tcBorders>
              <w:top w:val="nil"/>
              <w:left w:val="nil"/>
              <w:bottom w:val="single" w:sz="4" w:space="0" w:color="293F5B"/>
              <w:right w:val="nil"/>
            </w:tcBorders>
            <w:shd w:val="clear" w:color="auto" w:fill="auto"/>
            <w:vAlign w:val="center"/>
            <w:hideMark/>
          </w:tcPr>
          <w:p w14:paraId="0A0EF1FA" w14:textId="1AEEA7DB"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671,238 </w:t>
            </w:r>
          </w:p>
        </w:tc>
        <w:tc>
          <w:tcPr>
            <w:tcW w:w="477" w:type="pct"/>
            <w:tcBorders>
              <w:top w:val="nil"/>
              <w:left w:val="nil"/>
              <w:bottom w:val="single" w:sz="4" w:space="0" w:color="293F5B"/>
              <w:right w:val="nil"/>
            </w:tcBorders>
            <w:shd w:val="clear" w:color="auto" w:fill="auto"/>
            <w:vAlign w:val="center"/>
            <w:hideMark/>
          </w:tcPr>
          <w:p w14:paraId="7A65C933" w14:textId="2DADE7AC"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700,922 </w:t>
            </w:r>
          </w:p>
        </w:tc>
        <w:tc>
          <w:tcPr>
            <w:tcW w:w="477" w:type="pct"/>
            <w:tcBorders>
              <w:top w:val="nil"/>
              <w:left w:val="nil"/>
              <w:bottom w:val="single" w:sz="4" w:space="0" w:color="293F5B"/>
              <w:right w:val="nil"/>
            </w:tcBorders>
            <w:shd w:val="clear" w:color="auto" w:fill="auto"/>
            <w:vAlign w:val="center"/>
            <w:hideMark/>
          </w:tcPr>
          <w:p w14:paraId="2DE4B160" w14:textId="4DDCE1FD"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735,118 </w:t>
            </w:r>
          </w:p>
        </w:tc>
        <w:tc>
          <w:tcPr>
            <w:tcW w:w="53" w:type="pct"/>
            <w:tcBorders>
              <w:top w:val="nil"/>
              <w:left w:val="nil"/>
              <w:bottom w:val="single" w:sz="4" w:space="0" w:color="293F5B"/>
              <w:right w:val="nil"/>
            </w:tcBorders>
            <w:shd w:val="clear" w:color="auto" w:fill="auto"/>
            <w:noWrap/>
            <w:vAlign w:val="bottom"/>
            <w:hideMark/>
          </w:tcPr>
          <w:p w14:paraId="39756F7D" w14:textId="77777777" w:rsidR="000F00CB" w:rsidRPr="00966BD4" w:rsidRDefault="000F00CB" w:rsidP="000F00CB">
            <w:pPr>
              <w:spacing w:before="0" w:after="0" w:line="240" w:lineRule="auto"/>
              <w:rPr>
                <w:rFonts w:ascii="Arial" w:hAnsi="Arial" w:cs="Arial"/>
                <w:sz w:val="16"/>
                <w:szCs w:val="16"/>
              </w:rPr>
            </w:pPr>
            <w:r w:rsidRPr="00966BD4">
              <w:rPr>
                <w:rFonts w:ascii="Arial" w:hAnsi="Arial" w:cs="Arial"/>
                <w:sz w:val="16"/>
                <w:szCs w:val="16"/>
              </w:rPr>
              <w:t> </w:t>
            </w:r>
          </w:p>
        </w:tc>
        <w:tc>
          <w:tcPr>
            <w:tcW w:w="550" w:type="pct"/>
            <w:tcBorders>
              <w:top w:val="nil"/>
              <w:left w:val="nil"/>
              <w:bottom w:val="single" w:sz="4" w:space="0" w:color="293F5B"/>
              <w:right w:val="nil"/>
            </w:tcBorders>
            <w:shd w:val="clear" w:color="auto" w:fill="auto"/>
            <w:vAlign w:val="center"/>
            <w:hideMark/>
          </w:tcPr>
          <w:p w14:paraId="6942F06A" w14:textId="18D3FA66" w:rsidR="000F00CB" w:rsidRPr="00966BD4" w:rsidRDefault="000F00CB" w:rsidP="000F00CB">
            <w:pPr>
              <w:spacing w:before="0" w:after="0" w:line="240" w:lineRule="auto"/>
              <w:jc w:val="right"/>
              <w:rPr>
                <w:rFonts w:ascii="Arial" w:hAnsi="Arial" w:cs="Arial"/>
                <w:b/>
                <w:bCs/>
                <w:sz w:val="16"/>
                <w:szCs w:val="16"/>
              </w:rPr>
            </w:pPr>
            <w:r w:rsidRPr="00966BD4">
              <w:rPr>
                <w:rFonts w:ascii="Arial" w:hAnsi="Arial" w:cs="Arial"/>
                <w:b/>
                <w:bCs/>
                <w:sz w:val="16"/>
                <w:szCs w:val="16"/>
              </w:rPr>
              <w:t xml:space="preserve">3,411,014 </w:t>
            </w:r>
          </w:p>
        </w:tc>
      </w:tr>
    </w:tbl>
    <w:p w14:paraId="7D2C7237" w14:textId="67D5E85A" w:rsidR="00856766" w:rsidRPr="00966BD4" w:rsidRDefault="00685876" w:rsidP="00856766">
      <w:pPr>
        <w:pStyle w:val="ChartandTableFootnoteAlpha"/>
        <w:numPr>
          <w:ilvl w:val="0"/>
          <w:numId w:val="0"/>
        </w:numPr>
        <w:ind w:left="284" w:hanging="284"/>
        <w:rPr>
          <w:color w:val="auto"/>
        </w:rPr>
      </w:pPr>
      <w:r w:rsidRPr="00966BD4">
        <w:rPr>
          <w:color w:val="auto"/>
        </w:rPr>
        <w:t>* Data</w:t>
      </w:r>
      <w:r w:rsidR="00DD2C6C" w:rsidRPr="00966BD4">
        <w:rPr>
          <w:color w:val="auto"/>
        </w:rPr>
        <w:t xml:space="preserve"> is</w:t>
      </w:r>
      <w:r w:rsidRPr="00966BD4">
        <w:rPr>
          <w:color w:val="auto"/>
        </w:rPr>
        <w:t xml:space="preserve"> not available</w:t>
      </w:r>
      <w:r w:rsidR="00FC0DF3" w:rsidRPr="00966BD4">
        <w:rPr>
          <w:color w:val="auto"/>
        </w:rPr>
        <w:t>.</w:t>
      </w:r>
    </w:p>
    <w:p w14:paraId="403AB56C" w14:textId="77777777" w:rsidR="00D907F8" w:rsidRPr="00966BD4" w:rsidRDefault="00D907F8" w:rsidP="00774E24">
      <w:pPr>
        <w:pStyle w:val="TableLine"/>
      </w:pPr>
    </w:p>
    <w:p w14:paraId="274EBA1E" w14:textId="54BCFB81" w:rsidR="00D907F8" w:rsidRPr="00966BD4" w:rsidRDefault="00D907F8" w:rsidP="00774E24">
      <w:r w:rsidRPr="00966BD4">
        <w:t xml:space="preserve">Since </w:t>
      </w:r>
      <w:r w:rsidR="00024DA0" w:rsidRPr="00966BD4">
        <w:t>the October Budget</w:t>
      </w:r>
      <w:r w:rsidRPr="00966BD4">
        <w:t xml:space="preserve">, parameter and other variations have increased total receipts </w:t>
      </w:r>
      <w:r w:rsidR="00B41411">
        <w:br/>
      </w:r>
      <w:r w:rsidRPr="00966BD4">
        <w:t>by $</w:t>
      </w:r>
      <w:r w:rsidR="00EC2633" w:rsidRPr="00966BD4">
        <w:t>4</w:t>
      </w:r>
      <w:r w:rsidR="00D20CEE" w:rsidRPr="00966BD4">
        <w:t>4.9</w:t>
      </w:r>
      <w:r w:rsidRPr="00966BD4">
        <w:t> billion in 202</w:t>
      </w:r>
      <w:r w:rsidR="00E7172B" w:rsidRPr="00966BD4">
        <w:t>3</w:t>
      </w:r>
      <w:r w:rsidRPr="00966BD4">
        <w:t>–2</w:t>
      </w:r>
      <w:r w:rsidR="00E7172B" w:rsidRPr="00966BD4">
        <w:t>4</w:t>
      </w:r>
      <w:r w:rsidRPr="00966BD4">
        <w:t xml:space="preserve"> and $</w:t>
      </w:r>
      <w:r w:rsidR="00EC2633" w:rsidRPr="00966BD4">
        <w:t>1</w:t>
      </w:r>
      <w:r w:rsidR="00F265D7" w:rsidRPr="00966BD4">
        <w:t>30.</w:t>
      </w:r>
      <w:r w:rsidR="00416CC4" w:rsidRPr="00966BD4">
        <w:t>6</w:t>
      </w:r>
      <w:r w:rsidRPr="00966BD4">
        <w:t xml:space="preserve"> billion over the </w:t>
      </w:r>
      <w:r w:rsidR="00514841" w:rsidRPr="00966BD4">
        <w:t>5</w:t>
      </w:r>
      <w:r w:rsidRPr="00966BD4">
        <w:t xml:space="preserve"> years </w:t>
      </w:r>
      <w:r w:rsidR="002E0652" w:rsidRPr="00966BD4">
        <w:t>from 2022</w:t>
      </w:r>
      <w:r w:rsidR="00374D41" w:rsidRPr="00966BD4">
        <w:t>–</w:t>
      </w:r>
      <w:r w:rsidR="002E0652" w:rsidRPr="00966BD4">
        <w:t xml:space="preserve">23 </w:t>
      </w:r>
      <w:r w:rsidRPr="00966BD4">
        <w:t>to 202</w:t>
      </w:r>
      <w:r w:rsidR="00E7172B" w:rsidRPr="00966BD4">
        <w:t>6</w:t>
      </w:r>
      <w:r w:rsidRPr="00966BD4">
        <w:t>–2</w:t>
      </w:r>
      <w:r w:rsidR="00E7172B" w:rsidRPr="00966BD4">
        <w:t>7</w:t>
      </w:r>
      <w:r w:rsidRPr="00966BD4">
        <w:t xml:space="preserve">. </w:t>
      </w:r>
      <w:r w:rsidR="00B41411">
        <w:br/>
      </w:r>
      <w:r w:rsidRPr="00966BD4">
        <w:t xml:space="preserve">Policy decisions increase </w:t>
      </w:r>
      <w:r w:rsidR="00965A0B" w:rsidRPr="00966BD4">
        <w:t xml:space="preserve">total </w:t>
      </w:r>
      <w:r w:rsidRPr="00966BD4">
        <w:t xml:space="preserve">receipts by </w:t>
      </w:r>
      <w:r w:rsidR="008D22F5" w:rsidRPr="00966BD4">
        <w:t>$</w:t>
      </w:r>
      <w:r w:rsidR="00FE29FC" w:rsidRPr="00966BD4">
        <w:t>1.8</w:t>
      </w:r>
      <w:r w:rsidRPr="00966BD4">
        <w:t> billion in 202</w:t>
      </w:r>
      <w:r w:rsidR="00E7172B" w:rsidRPr="00966BD4">
        <w:t>3</w:t>
      </w:r>
      <w:r w:rsidRPr="00966BD4">
        <w:t>–2</w:t>
      </w:r>
      <w:r w:rsidR="00E7172B" w:rsidRPr="00966BD4">
        <w:t>4</w:t>
      </w:r>
      <w:r w:rsidRPr="00966BD4">
        <w:t xml:space="preserve"> and $</w:t>
      </w:r>
      <w:r w:rsidR="00B778A4" w:rsidRPr="00966BD4">
        <w:t>22.1</w:t>
      </w:r>
      <w:r w:rsidRPr="00966BD4">
        <w:t xml:space="preserve"> billion over </w:t>
      </w:r>
      <w:r w:rsidR="00B41411">
        <w:br/>
      </w:r>
      <w:r w:rsidRPr="00966BD4">
        <w:t xml:space="preserve">the </w:t>
      </w:r>
      <w:r w:rsidR="00514841" w:rsidRPr="00966BD4">
        <w:t>5</w:t>
      </w:r>
      <w:r w:rsidRPr="00966BD4">
        <w:t xml:space="preserve"> years </w:t>
      </w:r>
      <w:r w:rsidR="002E0652" w:rsidRPr="00966BD4">
        <w:t>from 2022</w:t>
      </w:r>
      <w:r w:rsidR="00374D41" w:rsidRPr="00966BD4">
        <w:t>–</w:t>
      </w:r>
      <w:r w:rsidR="002E0652" w:rsidRPr="00966BD4">
        <w:t xml:space="preserve">23 </w:t>
      </w:r>
      <w:r w:rsidRPr="00966BD4">
        <w:t>to 202</w:t>
      </w:r>
      <w:r w:rsidR="00E7172B" w:rsidRPr="00966BD4">
        <w:t>6</w:t>
      </w:r>
      <w:r w:rsidRPr="00966BD4">
        <w:t>–2</w:t>
      </w:r>
      <w:r w:rsidR="00E7172B" w:rsidRPr="00966BD4">
        <w:t>7</w:t>
      </w:r>
      <w:r w:rsidRPr="00966BD4">
        <w:t xml:space="preserve"> compared with</w:t>
      </w:r>
      <w:r w:rsidR="008C32BA" w:rsidRPr="00966BD4">
        <w:t xml:space="preserve"> the October Budget</w:t>
      </w:r>
      <w:r w:rsidRPr="00966BD4">
        <w:t>.</w:t>
      </w:r>
    </w:p>
    <w:p w14:paraId="02A6FB84" w14:textId="71097800" w:rsidR="00436F37" w:rsidRPr="00966BD4" w:rsidRDefault="00D907F8" w:rsidP="00774E24">
      <w:r w:rsidRPr="00966BD4">
        <w:t>The upgrade to the forecasts of total receipts overwhelmingly reflects upgrades to the forecasts of tax receipts.</w:t>
      </w:r>
      <w:bookmarkStart w:id="15" w:name="_Toc99201821"/>
      <w:bookmarkStart w:id="16" w:name="_Toc117324548"/>
      <w:bookmarkStart w:id="17" w:name="_Toc134182348"/>
    </w:p>
    <w:p w14:paraId="6B003F56" w14:textId="77777777" w:rsidR="00436F37" w:rsidRPr="00966BD4" w:rsidRDefault="00436F37" w:rsidP="00774E24">
      <w:r w:rsidRPr="00966BD4">
        <w:br w:type="page"/>
      </w:r>
    </w:p>
    <w:p w14:paraId="40782215" w14:textId="5B0BB3DE" w:rsidR="00D907F8" w:rsidRPr="00966BD4" w:rsidRDefault="00D907F8" w:rsidP="00436F37">
      <w:pPr>
        <w:pStyle w:val="Heading2"/>
      </w:pPr>
      <w:r w:rsidRPr="00966BD4">
        <w:lastRenderedPageBreak/>
        <w:t>Tax receipts estimates</w:t>
      </w:r>
      <w:bookmarkEnd w:id="14"/>
      <w:bookmarkEnd w:id="15"/>
      <w:bookmarkEnd w:id="16"/>
      <w:bookmarkEnd w:id="17"/>
    </w:p>
    <w:p w14:paraId="5BC04AC8" w14:textId="2F631066" w:rsidR="00D907F8" w:rsidRPr="00966BD4" w:rsidRDefault="00D907F8" w:rsidP="00774E24">
      <w:r w:rsidRPr="00966BD4">
        <w:t xml:space="preserve">Relative to </w:t>
      </w:r>
      <w:r w:rsidR="00416BA8" w:rsidRPr="00966BD4">
        <w:t>the October Budget</w:t>
      </w:r>
      <w:r w:rsidRPr="00966BD4">
        <w:t>, forecasts of tax receipts have been revised up by $</w:t>
      </w:r>
      <w:r w:rsidR="00D4720E" w:rsidRPr="00966BD4">
        <w:t>4</w:t>
      </w:r>
      <w:r w:rsidR="00EC1BEF" w:rsidRPr="00966BD4">
        <w:t>2</w:t>
      </w:r>
      <w:r w:rsidR="00D4720E" w:rsidRPr="00966BD4">
        <w:t>.</w:t>
      </w:r>
      <w:r w:rsidR="00EC1BEF" w:rsidRPr="00966BD4">
        <w:t>0</w:t>
      </w:r>
      <w:r w:rsidRPr="00966BD4">
        <w:t> billion in 202</w:t>
      </w:r>
      <w:r w:rsidR="00416BA8" w:rsidRPr="00966BD4">
        <w:t>3</w:t>
      </w:r>
      <w:r w:rsidRPr="00966BD4">
        <w:t>–2</w:t>
      </w:r>
      <w:r w:rsidR="00416BA8" w:rsidRPr="00966BD4">
        <w:t>4</w:t>
      </w:r>
      <w:r w:rsidRPr="00966BD4">
        <w:t xml:space="preserve"> and by $</w:t>
      </w:r>
      <w:r w:rsidR="00153382" w:rsidRPr="00966BD4">
        <w:t>13</w:t>
      </w:r>
      <w:r w:rsidR="00BE682E" w:rsidRPr="00966BD4">
        <w:t>4.</w:t>
      </w:r>
      <w:r w:rsidR="00B922D0" w:rsidRPr="00966BD4">
        <w:t>8</w:t>
      </w:r>
      <w:r w:rsidRPr="00966BD4">
        <w:t xml:space="preserve"> billion over the </w:t>
      </w:r>
      <w:r w:rsidR="00514841" w:rsidRPr="00966BD4">
        <w:t>5</w:t>
      </w:r>
      <w:r w:rsidRPr="00966BD4">
        <w:t xml:space="preserve"> years </w:t>
      </w:r>
      <w:r w:rsidR="002E0652" w:rsidRPr="00966BD4">
        <w:t>from 2022</w:t>
      </w:r>
      <w:r w:rsidR="00436F37" w:rsidRPr="00966BD4">
        <w:rPr>
          <w:rFonts w:ascii="Calibri" w:hAnsi="Calibri" w:cs="Calibri"/>
        </w:rPr>
        <w:t>–</w:t>
      </w:r>
      <w:r w:rsidR="002E0652" w:rsidRPr="00966BD4">
        <w:t xml:space="preserve">23 </w:t>
      </w:r>
      <w:r w:rsidRPr="00966BD4">
        <w:t>to 202</w:t>
      </w:r>
      <w:r w:rsidR="00416BA8" w:rsidRPr="00966BD4">
        <w:t>6</w:t>
      </w:r>
      <w:r w:rsidRPr="00966BD4">
        <w:t>–2</w:t>
      </w:r>
      <w:r w:rsidR="00416BA8" w:rsidRPr="00966BD4">
        <w:t>7</w:t>
      </w:r>
      <w:r w:rsidRPr="00966BD4">
        <w:t xml:space="preserve">. </w:t>
      </w:r>
    </w:p>
    <w:p w14:paraId="7B01BB9C" w14:textId="72125B84" w:rsidR="00D907F8" w:rsidRPr="00966BD4" w:rsidRDefault="00D907F8" w:rsidP="00774E24">
      <w:pPr>
        <w:rPr>
          <w:rFonts w:ascii="Arial" w:hAnsi="Arial"/>
          <w:b/>
          <w:sz w:val="20"/>
        </w:rPr>
      </w:pPr>
      <w:r w:rsidRPr="00966BD4">
        <w:t xml:space="preserve">Table 5.3 reconciles the </w:t>
      </w:r>
      <w:r w:rsidR="005F6BAA" w:rsidRPr="00966BD4">
        <w:t>2023</w:t>
      </w:r>
      <w:r w:rsidR="00FC361D" w:rsidRPr="00966BD4">
        <w:t>–</w:t>
      </w:r>
      <w:r w:rsidR="005F6BAA" w:rsidRPr="00966BD4">
        <w:t xml:space="preserve">24 Budget </w:t>
      </w:r>
      <w:r w:rsidR="00904B12" w:rsidRPr="00966BD4">
        <w:t xml:space="preserve">estimates of tax receipts </w:t>
      </w:r>
      <w:r w:rsidR="00546E45" w:rsidRPr="00966BD4">
        <w:t xml:space="preserve">with the </w:t>
      </w:r>
      <w:r w:rsidRPr="00966BD4">
        <w:t xml:space="preserve">October Budget </w:t>
      </w:r>
      <w:r w:rsidR="00546E45" w:rsidRPr="00966BD4">
        <w:t>and</w:t>
      </w:r>
      <w:r w:rsidRPr="00966BD4">
        <w:t xml:space="preserve"> </w:t>
      </w:r>
      <w:r w:rsidR="00551B6F" w:rsidRPr="00966BD4">
        <w:t xml:space="preserve">2022 </w:t>
      </w:r>
      <w:r w:rsidRPr="00966BD4">
        <w:t>PEF</w:t>
      </w:r>
      <w:r w:rsidR="00546E45" w:rsidRPr="00966BD4">
        <w:t>O.</w:t>
      </w:r>
      <w:r w:rsidRPr="00966BD4">
        <w:t xml:space="preserve"> </w:t>
      </w:r>
      <w:bookmarkStart w:id="18" w:name="_Toc481069565"/>
      <w:bookmarkStart w:id="19" w:name="_Toc512337933"/>
    </w:p>
    <w:p w14:paraId="34D68FE2" w14:textId="138EC986" w:rsidR="00B000D8" w:rsidRPr="00966BD4" w:rsidRDefault="00D907F8" w:rsidP="00B000D8">
      <w:pPr>
        <w:pStyle w:val="TableHeading"/>
        <w:rPr>
          <w:rFonts w:asciiTheme="minorHAnsi" w:eastAsiaTheme="minorHAnsi" w:hAnsiTheme="minorHAnsi" w:cstheme="minorBidi"/>
          <w:sz w:val="22"/>
          <w:szCs w:val="22"/>
          <w:lang w:eastAsia="en-US"/>
        </w:rPr>
      </w:pPr>
      <w:r w:rsidRPr="00966BD4">
        <w:t xml:space="preserve">Table 5.3: Reconciliation of Australian Government general government tax receipts estimates from the </w:t>
      </w:r>
      <w:r w:rsidR="00F86113" w:rsidRPr="00966BD4">
        <w:t xml:space="preserve">2022–23 October Budget and </w:t>
      </w:r>
      <w:r w:rsidR="003B719E" w:rsidRPr="00966BD4">
        <w:t xml:space="preserve">2022 </w:t>
      </w:r>
      <w:r w:rsidR="00F86113" w:rsidRPr="00966BD4">
        <w:t>PEF</w:t>
      </w:r>
      <w:r w:rsidR="003B719E" w:rsidRPr="00966BD4">
        <w:t>O</w:t>
      </w:r>
    </w:p>
    <w:tbl>
      <w:tblPr>
        <w:tblW w:w="5000" w:type="pct"/>
        <w:tblCellMar>
          <w:left w:w="0" w:type="dxa"/>
          <w:right w:w="28" w:type="dxa"/>
        </w:tblCellMar>
        <w:tblLook w:val="04A0" w:firstRow="1" w:lastRow="0" w:firstColumn="1" w:lastColumn="0" w:noHBand="0" w:noVBand="1"/>
      </w:tblPr>
      <w:tblGrid>
        <w:gridCol w:w="3051"/>
        <w:gridCol w:w="764"/>
        <w:gridCol w:w="764"/>
        <w:gridCol w:w="763"/>
        <w:gridCol w:w="763"/>
        <w:gridCol w:w="763"/>
        <w:gridCol w:w="79"/>
        <w:gridCol w:w="763"/>
      </w:tblGrid>
      <w:tr w:rsidR="00B6226B" w:rsidRPr="00966BD4" w14:paraId="6CDEE6D9" w14:textId="77777777" w:rsidTr="00B000D8">
        <w:trPr>
          <w:divId w:val="1614555134"/>
          <w:trHeight w:hRule="exact" w:val="225"/>
        </w:trPr>
        <w:tc>
          <w:tcPr>
            <w:tcW w:w="1978" w:type="pct"/>
            <w:tcBorders>
              <w:top w:val="single" w:sz="4" w:space="0" w:color="293F5B"/>
              <w:left w:val="nil"/>
              <w:bottom w:val="nil"/>
              <w:right w:val="nil"/>
            </w:tcBorders>
            <w:shd w:val="clear" w:color="auto" w:fill="auto"/>
            <w:noWrap/>
            <w:vAlign w:val="center"/>
            <w:hideMark/>
          </w:tcPr>
          <w:p w14:paraId="582E5DAA" w14:textId="313AB8F6" w:rsidR="00B000D8" w:rsidRPr="00966BD4" w:rsidRDefault="00B000D8" w:rsidP="00B000D8">
            <w:pPr>
              <w:jc w:val="both"/>
              <w:rPr>
                <w:rFonts w:ascii="Arial" w:hAnsi="Arial" w:cs="Arial"/>
                <w:sz w:val="16"/>
                <w:szCs w:val="16"/>
              </w:rPr>
            </w:pPr>
            <w:r w:rsidRPr="00966BD4">
              <w:rPr>
                <w:rFonts w:ascii="Arial" w:hAnsi="Arial" w:cs="Arial"/>
                <w:sz w:val="16"/>
                <w:szCs w:val="16"/>
              </w:rPr>
              <w:t> </w:t>
            </w:r>
          </w:p>
        </w:tc>
        <w:tc>
          <w:tcPr>
            <w:tcW w:w="2475" w:type="pct"/>
            <w:gridSpan w:val="5"/>
            <w:tcBorders>
              <w:top w:val="single" w:sz="4" w:space="0" w:color="293F5B"/>
              <w:left w:val="nil"/>
              <w:bottom w:val="nil"/>
              <w:right w:val="nil"/>
            </w:tcBorders>
            <w:shd w:val="clear" w:color="auto" w:fill="auto"/>
            <w:noWrap/>
            <w:vAlign w:val="center"/>
            <w:hideMark/>
          </w:tcPr>
          <w:p w14:paraId="05CC1E2D" w14:textId="77777777" w:rsidR="00B000D8" w:rsidRPr="00966BD4" w:rsidRDefault="00B000D8" w:rsidP="00B000D8">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1" w:type="pct"/>
            <w:tcBorders>
              <w:top w:val="single" w:sz="4" w:space="0" w:color="293F5B"/>
              <w:left w:val="nil"/>
              <w:bottom w:val="nil"/>
              <w:right w:val="nil"/>
            </w:tcBorders>
            <w:shd w:val="clear" w:color="auto" w:fill="auto"/>
            <w:noWrap/>
            <w:vAlign w:val="center"/>
            <w:hideMark/>
          </w:tcPr>
          <w:p w14:paraId="02AE488B"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 </w:t>
            </w:r>
          </w:p>
        </w:tc>
        <w:tc>
          <w:tcPr>
            <w:tcW w:w="495" w:type="pct"/>
            <w:tcBorders>
              <w:top w:val="single" w:sz="4" w:space="0" w:color="293F5B"/>
              <w:left w:val="nil"/>
              <w:bottom w:val="nil"/>
              <w:right w:val="nil"/>
            </w:tcBorders>
            <w:shd w:val="clear" w:color="auto" w:fill="auto"/>
            <w:noWrap/>
            <w:vAlign w:val="center"/>
            <w:hideMark/>
          </w:tcPr>
          <w:p w14:paraId="7321A5B4"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 </w:t>
            </w:r>
          </w:p>
        </w:tc>
      </w:tr>
      <w:tr w:rsidR="00B6226B" w:rsidRPr="00966BD4" w14:paraId="1252720F" w14:textId="77777777" w:rsidTr="00B000D8">
        <w:trPr>
          <w:divId w:val="1614555134"/>
          <w:trHeight w:hRule="exact" w:val="225"/>
        </w:trPr>
        <w:tc>
          <w:tcPr>
            <w:tcW w:w="1978" w:type="pct"/>
            <w:tcBorders>
              <w:top w:val="nil"/>
              <w:left w:val="nil"/>
              <w:bottom w:val="nil"/>
              <w:right w:val="nil"/>
            </w:tcBorders>
            <w:shd w:val="clear" w:color="auto" w:fill="auto"/>
            <w:noWrap/>
            <w:vAlign w:val="center"/>
            <w:hideMark/>
          </w:tcPr>
          <w:p w14:paraId="3E4AF85C" w14:textId="77777777" w:rsidR="00B000D8" w:rsidRPr="00966BD4" w:rsidRDefault="00B000D8" w:rsidP="00B000D8">
            <w:pPr>
              <w:spacing w:before="0" w:after="0" w:line="240" w:lineRule="auto"/>
              <w:rPr>
                <w:rFonts w:ascii="Arial" w:hAnsi="Arial" w:cs="Arial"/>
                <w:sz w:val="16"/>
                <w:szCs w:val="16"/>
              </w:rPr>
            </w:pPr>
          </w:p>
        </w:tc>
        <w:tc>
          <w:tcPr>
            <w:tcW w:w="495" w:type="pct"/>
            <w:tcBorders>
              <w:top w:val="single" w:sz="4" w:space="0" w:color="293F5B"/>
              <w:left w:val="nil"/>
              <w:bottom w:val="nil"/>
              <w:right w:val="nil"/>
            </w:tcBorders>
            <w:shd w:val="clear" w:color="auto" w:fill="auto"/>
            <w:noWrap/>
            <w:vAlign w:val="center"/>
            <w:hideMark/>
          </w:tcPr>
          <w:p w14:paraId="5D26C00E"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2022–23</w:t>
            </w:r>
          </w:p>
        </w:tc>
        <w:tc>
          <w:tcPr>
            <w:tcW w:w="495" w:type="pct"/>
            <w:tcBorders>
              <w:top w:val="single" w:sz="4" w:space="0" w:color="293F5B"/>
              <w:left w:val="nil"/>
              <w:bottom w:val="nil"/>
              <w:right w:val="nil"/>
            </w:tcBorders>
            <w:shd w:val="clear" w:color="000000" w:fill="E6F2FF"/>
            <w:noWrap/>
            <w:vAlign w:val="center"/>
            <w:hideMark/>
          </w:tcPr>
          <w:p w14:paraId="32A2C2BC"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2023–24</w:t>
            </w:r>
          </w:p>
        </w:tc>
        <w:tc>
          <w:tcPr>
            <w:tcW w:w="495" w:type="pct"/>
            <w:tcBorders>
              <w:top w:val="single" w:sz="4" w:space="0" w:color="293F5B"/>
              <w:left w:val="nil"/>
              <w:bottom w:val="nil"/>
              <w:right w:val="nil"/>
            </w:tcBorders>
            <w:shd w:val="clear" w:color="auto" w:fill="auto"/>
            <w:noWrap/>
            <w:vAlign w:val="center"/>
            <w:hideMark/>
          </w:tcPr>
          <w:p w14:paraId="2915847C"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2024–25</w:t>
            </w:r>
          </w:p>
        </w:tc>
        <w:tc>
          <w:tcPr>
            <w:tcW w:w="495" w:type="pct"/>
            <w:tcBorders>
              <w:top w:val="single" w:sz="4" w:space="0" w:color="293F5B"/>
              <w:left w:val="nil"/>
              <w:bottom w:val="nil"/>
              <w:right w:val="nil"/>
            </w:tcBorders>
            <w:shd w:val="clear" w:color="auto" w:fill="auto"/>
            <w:noWrap/>
            <w:vAlign w:val="center"/>
            <w:hideMark/>
          </w:tcPr>
          <w:p w14:paraId="398848E3"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2025–26</w:t>
            </w:r>
          </w:p>
        </w:tc>
        <w:tc>
          <w:tcPr>
            <w:tcW w:w="495" w:type="pct"/>
            <w:tcBorders>
              <w:top w:val="single" w:sz="4" w:space="0" w:color="293F5B"/>
              <w:left w:val="nil"/>
              <w:bottom w:val="nil"/>
              <w:right w:val="nil"/>
            </w:tcBorders>
            <w:shd w:val="clear" w:color="auto" w:fill="auto"/>
            <w:noWrap/>
            <w:vAlign w:val="center"/>
            <w:hideMark/>
          </w:tcPr>
          <w:p w14:paraId="3C60FD03"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2026–27</w:t>
            </w:r>
          </w:p>
        </w:tc>
        <w:tc>
          <w:tcPr>
            <w:tcW w:w="51" w:type="pct"/>
            <w:tcBorders>
              <w:top w:val="nil"/>
              <w:left w:val="nil"/>
              <w:bottom w:val="nil"/>
              <w:right w:val="nil"/>
            </w:tcBorders>
            <w:shd w:val="clear" w:color="auto" w:fill="auto"/>
            <w:noWrap/>
            <w:vAlign w:val="center"/>
            <w:hideMark/>
          </w:tcPr>
          <w:p w14:paraId="6FD7400B"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single" w:sz="4" w:space="0" w:color="293F5B"/>
              <w:left w:val="nil"/>
              <w:bottom w:val="nil"/>
              <w:right w:val="nil"/>
            </w:tcBorders>
            <w:shd w:val="clear" w:color="auto" w:fill="auto"/>
            <w:noWrap/>
            <w:vAlign w:val="center"/>
            <w:hideMark/>
          </w:tcPr>
          <w:p w14:paraId="2FC0CBAD"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Total</w:t>
            </w:r>
          </w:p>
        </w:tc>
      </w:tr>
      <w:tr w:rsidR="00B6226B" w:rsidRPr="00966BD4" w14:paraId="62E1DA1D" w14:textId="77777777" w:rsidTr="00B000D8">
        <w:trPr>
          <w:divId w:val="1614555134"/>
          <w:trHeight w:hRule="exact" w:val="225"/>
        </w:trPr>
        <w:tc>
          <w:tcPr>
            <w:tcW w:w="1978" w:type="pct"/>
            <w:tcBorders>
              <w:top w:val="nil"/>
              <w:left w:val="nil"/>
              <w:bottom w:val="nil"/>
              <w:right w:val="nil"/>
            </w:tcBorders>
            <w:shd w:val="clear" w:color="auto" w:fill="auto"/>
            <w:noWrap/>
            <w:vAlign w:val="center"/>
            <w:hideMark/>
          </w:tcPr>
          <w:p w14:paraId="7FEE647D"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single" w:sz="4" w:space="0" w:color="293F5B"/>
              <w:right w:val="nil"/>
            </w:tcBorders>
            <w:shd w:val="clear" w:color="auto" w:fill="auto"/>
            <w:noWrap/>
            <w:vAlign w:val="center"/>
            <w:hideMark/>
          </w:tcPr>
          <w:p w14:paraId="779214B4"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c>
          <w:tcPr>
            <w:tcW w:w="495" w:type="pct"/>
            <w:tcBorders>
              <w:top w:val="nil"/>
              <w:left w:val="nil"/>
              <w:bottom w:val="single" w:sz="4" w:space="0" w:color="293F5B"/>
              <w:right w:val="nil"/>
            </w:tcBorders>
            <w:shd w:val="clear" w:color="000000" w:fill="E6F2FF"/>
            <w:noWrap/>
            <w:vAlign w:val="center"/>
            <w:hideMark/>
          </w:tcPr>
          <w:p w14:paraId="3A3142FD"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c>
          <w:tcPr>
            <w:tcW w:w="495" w:type="pct"/>
            <w:tcBorders>
              <w:top w:val="nil"/>
              <w:left w:val="nil"/>
              <w:bottom w:val="single" w:sz="4" w:space="0" w:color="293F5B"/>
              <w:right w:val="nil"/>
            </w:tcBorders>
            <w:shd w:val="clear" w:color="auto" w:fill="auto"/>
            <w:noWrap/>
            <w:vAlign w:val="center"/>
            <w:hideMark/>
          </w:tcPr>
          <w:p w14:paraId="0EE3B8A8"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c>
          <w:tcPr>
            <w:tcW w:w="495" w:type="pct"/>
            <w:tcBorders>
              <w:top w:val="nil"/>
              <w:left w:val="nil"/>
              <w:bottom w:val="single" w:sz="4" w:space="0" w:color="293F5B"/>
              <w:right w:val="nil"/>
            </w:tcBorders>
            <w:shd w:val="clear" w:color="auto" w:fill="auto"/>
            <w:noWrap/>
            <w:vAlign w:val="center"/>
            <w:hideMark/>
          </w:tcPr>
          <w:p w14:paraId="512FC937"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c>
          <w:tcPr>
            <w:tcW w:w="495" w:type="pct"/>
            <w:tcBorders>
              <w:top w:val="nil"/>
              <w:left w:val="nil"/>
              <w:bottom w:val="single" w:sz="4" w:space="0" w:color="293F5B"/>
              <w:right w:val="nil"/>
            </w:tcBorders>
            <w:shd w:val="clear" w:color="auto" w:fill="auto"/>
            <w:noWrap/>
            <w:vAlign w:val="center"/>
            <w:hideMark/>
          </w:tcPr>
          <w:p w14:paraId="3147280F"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c>
          <w:tcPr>
            <w:tcW w:w="51" w:type="pct"/>
            <w:tcBorders>
              <w:top w:val="nil"/>
              <w:left w:val="nil"/>
              <w:bottom w:val="nil"/>
              <w:right w:val="nil"/>
            </w:tcBorders>
            <w:shd w:val="clear" w:color="auto" w:fill="auto"/>
            <w:noWrap/>
            <w:vAlign w:val="center"/>
            <w:hideMark/>
          </w:tcPr>
          <w:p w14:paraId="11D8A291"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single" w:sz="4" w:space="0" w:color="293F5B"/>
              <w:right w:val="nil"/>
            </w:tcBorders>
            <w:shd w:val="clear" w:color="auto" w:fill="auto"/>
            <w:noWrap/>
            <w:vAlign w:val="center"/>
            <w:hideMark/>
          </w:tcPr>
          <w:p w14:paraId="3EE1435B"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$m</w:t>
            </w:r>
          </w:p>
        </w:tc>
      </w:tr>
      <w:tr w:rsidR="00B6226B" w:rsidRPr="00966BD4" w14:paraId="69D8A770"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0D79857F" w14:textId="77777777"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Tax receipts at 2022 PEFO</w:t>
            </w:r>
          </w:p>
        </w:tc>
        <w:tc>
          <w:tcPr>
            <w:tcW w:w="495" w:type="pct"/>
            <w:tcBorders>
              <w:top w:val="nil"/>
              <w:left w:val="nil"/>
              <w:bottom w:val="nil"/>
              <w:right w:val="nil"/>
            </w:tcBorders>
            <w:shd w:val="clear" w:color="auto" w:fill="auto"/>
            <w:noWrap/>
            <w:vAlign w:val="center"/>
            <w:hideMark/>
          </w:tcPr>
          <w:p w14:paraId="0A030F63"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508,425</w:t>
            </w:r>
          </w:p>
        </w:tc>
        <w:tc>
          <w:tcPr>
            <w:tcW w:w="495" w:type="pct"/>
            <w:tcBorders>
              <w:top w:val="nil"/>
              <w:left w:val="nil"/>
              <w:bottom w:val="nil"/>
              <w:right w:val="nil"/>
            </w:tcBorders>
            <w:shd w:val="clear" w:color="000000" w:fill="E6F2FF"/>
            <w:noWrap/>
            <w:vAlign w:val="center"/>
            <w:hideMark/>
          </w:tcPr>
          <w:p w14:paraId="32720FE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541,737</w:t>
            </w:r>
          </w:p>
        </w:tc>
        <w:tc>
          <w:tcPr>
            <w:tcW w:w="495" w:type="pct"/>
            <w:tcBorders>
              <w:top w:val="nil"/>
              <w:left w:val="nil"/>
              <w:bottom w:val="nil"/>
              <w:right w:val="nil"/>
            </w:tcBorders>
            <w:shd w:val="clear" w:color="auto" w:fill="auto"/>
            <w:noWrap/>
            <w:vAlign w:val="center"/>
            <w:hideMark/>
          </w:tcPr>
          <w:p w14:paraId="5CD9AB19"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566,570</w:t>
            </w:r>
          </w:p>
        </w:tc>
        <w:tc>
          <w:tcPr>
            <w:tcW w:w="495" w:type="pct"/>
            <w:tcBorders>
              <w:top w:val="nil"/>
              <w:left w:val="nil"/>
              <w:bottom w:val="nil"/>
              <w:right w:val="nil"/>
            </w:tcBorders>
            <w:shd w:val="clear" w:color="auto" w:fill="auto"/>
            <w:noWrap/>
            <w:vAlign w:val="center"/>
            <w:hideMark/>
          </w:tcPr>
          <w:p w14:paraId="2585BA2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598,183</w:t>
            </w:r>
          </w:p>
        </w:tc>
        <w:tc>
          <w:tcPr>
            <w:tcW w:w="495" w:type="pct"/>
            <w:tcBorders>
              <w:top w:val="nil"/>
              <w:left w:val="nil"/>
              <w:bottom w:val="nil"/>
              <w:right w:val="nil"/>
            </w:tcBorders>
            <w:shd w:val="clear" w:color="auto" w:fill="auto"/>
            <w:noWrap/>
            <w:vAlign w:val="center"/>
            <w:hideMark/>
          </w:tcPr>
          <w:p w14:paraId="1643E688"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1" w:type="pct"/>
            <w:tcBorders>
              <w:top w:val="nil"/>
              <w:left w:val="nil"/>
              <w:bottom w:val="nil"/>
              <w:right w:val="nil"/>
            </w:tcBorders>
            <w:shd w:val="clear" w:color="auto" w:fill="auto"/>
            <w:noWrap/>
            <w:vAlign w:val="center"/>
            <w:hideMark/>
          </w:tcPr>
          <w:p w14:paraId="45EF99E4"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13EF994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B6226B" w:rsidRPr="00966BD4" w14:paraId="1D944FD6" w14:textId="77777777" w:rsidTr="00B000D8">
        <w:trPr>
          <w:divId w:val="1614555134"/>
          <w:trHeight w:hRule="exact" w:val="60"/>
        </w:trPr>
        <w:tc>
          <w:tcPr>
            <w:tcW w:w="1978" w:type="pct"/>
            <w:tcBorders>
              <w:top w:val="nil"/>
              <w:left w:val="nil"/>
              <w:bottom w:val="nil"/>
              <w:right w:val="nil"/>
            </w:tcBorders>
            <w:shd w:val="clear" w:color="auto" w:fill="auto"/>
            <w:vAlign w:val="center"/>
            <w:hideMark/>
          </w:tcPr>
          <w:p w14:paraId="379C61AF"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055C42EE" w14:textId="77777777" w:rsidR="00B000D8" w:rsidRPr="00966BD4" w:rsidRDefault="00B000D8" w:rsidP="00B000D8">
            <w:pPr>
              <w:spacing w:before="0" w:after="0" w:line="240" w:lineRule="auto"/>
              <w:jc w:val="right"/>
              <w:rPr>
                <w:rFonts w:ascii="Times New Roman" w:hAnsi="Times New Roman"/>
                <w:sz w:val="20"/>
              </w:rPr>
            </w:pPr>
          </w:p>
        </w:tc>
        <w:tc>
          <w:tcPr>
            <w:tcW w:w="495" w:type="pct"/>
            <w:tcBorders>
              <w:top w:val="nil"/>
              <w:left w:val="nil"/>
              <w:bottom w:val="nil"/>
              <w:right w:val="nil"/>
            </w:tcBorders>
            <w:shd w:val="clear" w:color="000000" w:fill="E6F2FF"/>
            <w:noWrap/>
            <w:vAlign w:val="center"/>
            <w:hideMark/>
          </w:tcPr>
          <w:p w14:paraId="3F805B75"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 </w:t>
            </w:r>
          </w:p>
        </w:tc>
        <w:tc>
          <w:tcPr>
            <w:tcW w:w="495" w:type="pct"/>
            <w:tcBorders>
              <w:top w:val="nil"/>
              <w:left w:val="nil"/>
              <w:bottom w:val="nil"/>
              <w:right w:val="nil"/>
            </w:tcBorders>
            <w:shd w:val="clear" w:color="auto" w:fill="auto"/>
            <w:noWrap/>
            <w:vAlign w:val="center"/>
            <w:hideMark/>
          </w:tcPr>
          <w:p w14:paraId="3A417DC8"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7D83392B"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2E352CD2"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4905340E"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67AAC6AA" w14:textId="77777777" w:rsidR="00B000D8" w:rsidRPr="00966BD4" w:rsidRDefault="00B000D8" w:rsidP="00B000D8">
            <w:pPr>
              <w:spacing w:before="0" w:after="0" w:line="240" w:lineRule="auto"/>
              <w:rPr>
                <w:rFonts w:ascii="Times New Roman" w:hAnsi="Times New Roman"/>
                <w:sz w:val="20"/>
              </w:rPr>
            </w:pPr>
          </w:p>
        </w:tc>
      </w:tr>
      <w:tr w:rsidR="00B6226B" w:rsidRPr="00966BD4" w14:paraId="5F8ACE3A"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5DC783AE" w14:textId="77777777"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Changes from 2022 PEFO</w:t>
            </w:r>
          </w:p>
        </w:tc>
        <w:tc>
          <w:tcPr>
            <w:tcW w:w="495" w:type="pct"/>
            <w:tcBorders>
              <w:top w:val="nil"/>
              <w:left w:val="nil"/>
              <w:bottom w:val="nil"/>
              <w:right w:val="nil"/>
            </w:tcBorders>
            <w:shd w:val="clear" w:color="auto" w:fill="auto"/>
            <w:noWrap/>
            <w:vAlign w:val="center"/>
            <w:hideMark/>
          </w:tcPr>
          <w:p w14:paraId="4A139A3A" w14:textId="77777777" w:rsidR="00B000D8" w:rsidRPr="00966BD4" w:rsidRDefault="00B000D8" w:rsidP="00B000D8">
            <w:pPr>
              <w:spacing w:before="0" w:after="0" w:line="240" w:lineRule="auto"/>
              <w:rPr>
                <w:rFonts w:ascii="Arial" w:hAnsi="Arial" w:cs="Arial"/>
                <w:b/>
                <w:bCs/>
                <w:sz w:val="16"/>
                <w:szCs w:val="16"/>
              </w:rPr>
            </w:pPr>
          </w:p>
        </w:tc>
        <w:tc>
          <w:tcPr>
            <w:tcW w:w="495" w:type="pct"/>
            <w:tcBorders>
              <w:top w:val="nil"/>
              <w:left w:val="nil"/>
              <w:bottom w:val="nil"/>
              <w:right w:val="nil"/>
            </w:tcBorders>
            <w:shd w:val="clear" w:color="000000" w:fill="E6F2FF"/>
            <w:noWrap/>
            <w:vAlign w:val="center"/>
            <w:hideMark/>
          </w:tcPr>
          <w:p w14:paraId="6D10921D"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495" w:type="pct"/>
            <w:tcBorders>
              <w:top w:val="nil"/>
              <w:left w:val="nil"/>
              <w:bottom w:val="nil"/>
              <w:right w:val="nil"/>
            </w:tcBorders>
            <w:shd w:val="clear" w:color="auto" w:fill="auto"/>
            <w:noWrap/>
            <w:vAlign w:val="center"/>
            <w:hideMark/>
          </w:tcPr>
          <w:p w14:paraId="2FC243B8"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4AACB3F3"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5E803D67"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78C0873C"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0D10FB71" w14:textId="77777777" w:rsidR="00B000D8" w:rsidRPr="00966BD4" w:rsidRDefault="00B000D8" w:rsidP="00B000D8">
            <w:pPr>
              <w:spacing w:before="0" w:after="0" w:line="240" w:lineRule="auto"/>
              <w:rPr>
                <w:rFonts w:ascii="Times New Roman" w:hAnsi="Times New Roman"/>
                <w:sz w:val="20"/>
              </w:rPr>
            </w:pPr>
          </w:p>
        </w:tc>
      </w:tr>
      <w:tr w:rsidR="00B6226B" w:rsidRPr="00966BD4" w14:paraId="393C20ED"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6B167F67" w14:textId="4EFB842F" w:rsidR="00B000D8" w:rsidRPr="00966BD4" w:rsidRDefault="00B000D8" w:rsidP="00B000D8">
            <w:pPr>
              <w:spacing w:before="0" w:after="0" w:line="240" w:lineRule="auto"/>
              <w:ind w:left="170"/>
              <w:rPr>
                <w:rFonts w:ascii="Arial" w:hAnsi="Arial" w:cs="Arial"/>
                <w:b/>
                <w:bCs/>
                <w:sz w:val="16"/>
                <w:szCs w:val="16"/>
              </w:rPr>
            </w:pPr>
            <w:r w:rsidRPr="00966BD4">
              <w:rPr>
                <w:rFonts w:ascii="Arial" w:hAnsi="Arial" w:cs="Arial"/>
                <w:b/>
                <w:bCs/>
                <w:sz w:val="16"/>
                <w:szCs w:val="16"/>
              </w:rPr>
              <w:t>to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95" w:type="pct"/>
            <w:tcBorders>
              <w:top w:val="nil"/>
              <w:left w:val="nil"/>
              <w:bottom w:val="nil"/>
              <w:right w:val="nil"/>
            </w:tcBorders>
            <w:shd w:val="clear" w:color="auto" w:fill="auto"/>
            <w:noWrap/>
            <w:vAlign w:val="center"/>
            <w:hideMark/>
          </w:tcPr>
          <w:p w14:paraId="592287AE" w14:textId="77777777" w:rsidR="00B000D8" w:rsidRPr="00966BD4" w:rsidRDefault="00B000D8" w:rsidP="00B000D8">
            <w:pPr>
              <w:spacing w:before="0" w:after="0" w:line="240" w:lineRule="auto"/>
              <w:ind w:firstLineChars="100" w:firstLine="161"/>
              <w:rPr>
                <w:rFonts w:ascii="Arial" w:hAnsi="Arial" w:cs="Arial"/>
                <w:b/>
                <w:bCs/>
                <w:sz w:val="16"/>
                <w:szCs w:val="16"/>
              </w:rPr>
            </w:pPr>
          </w:p>
        </w:tc>
        <w:tc>
          <w:tcPr>
            <w:tcW w:w="495" w:type="pct"/>
            <w:tcBorders>
              <w:top w:val="nil"/>
              <w:left w:val="nil"/>
              <w:bottom w:val="nil"/>
              <w:right w:val="nil"/>
            </w:tcBorders>
            <w:shd w:val="clear" w:color="000000" w:fill="E6F2FF"/>
            <w:noWrap/>
            <w:vAlign w:val="center"/>
            <w:hideMark/>
          </w:tcPr>
          <w:p w14:paraId="1CBC0264"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495" w:type="pct"/>
            <w:tcBorders>
              <w:top w:val="nil"/>
              <w:left w:val="nil"/>
              <w:bottom w:val="nil"/>
              <w:right w:val="nil"/>
            </w:tcBorders>
            <w:shd w:val="clear" w:color="auto" w:fill="auto"/>
            <w:noWrap/>
            <w:vAlign w:val="center"/>
            <w:hideMark/>
          </w:tcPr>
          <w:p w14:paraId="73B48A8B"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7033FCFD"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157D77EA"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096E052F"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5CC97FE3" w14:textId="77777777" w:rsidR="00B000D8" w:rsidRPr="00966BD4" w:rsidRDefault="00B000D8" w:rsidP="00B000D8">
            <w:pPr>
              <w:spacing w:before="0" w:after="0" w:line="240" w:lineRule="auto"/>
              <w:rPr>
                <w:rFonts w:ascii="Times New Roman" w:hAnsi="Times New Roman"/>
                <w:sz w:val="20"/>
              </w:rPr>
            </w:pPr>
          </w:p>
        </w:tc>
      </w:tr>
      <w:tr w:rsidR="00B6226B" w:rsidRPr="00966BD4" w14:paraId="240A0E7F"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52C7E86E"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Effect of policy decisions </w:t>
            </w:r>
          </w:p>
        </w:tc>
        <w:tc>
          <w:tcPr>
            <w:tcW w:w="495" w:type="pct"/>
            <w:tcBorders>
              <w:top w:val="nil"/>
              <w:left w:val="nil"/>
              <w:bottom w:val="nil"/>
              <w:right w:val="nil"/>
            </w:tcBorders>
            <w:shd w:val="clear" w:color="auto" w:fill="auto"/>
            <w:noWrap/>
            <w:vAlign w:val="center"/>
            <w:hideMark/>
          </w:tcPr>
          <w:p w14:paraId="5A2CB6F9"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488</w:t>
            </w:r>
          </w:p>
        </w:tc>
        <w:tc>
          <w:tcPr>
            <w:tcW w:w="495" w:type="pct"/>
            <w:tcBorders>
              <w:top w:val="nil"/>
              <w:left w:val="nil"/>
              <w:bottom w:val="nil"/>
              <w:right w:val="nil"/>
            </w:tcBorders>
            <w:shd w:val="clear" w:color="000000" w:fill="E6F2FF"/>
            <w:noWrap/>
            <w:vAlign w:val="center"/>
            <w:hideMark/>
          </w:tcPr>
          <w:p w14:paraId="007467B2"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1,654</w:t>
            </w:r>
          </w:p>
        </w:tc>
        <w:tc>
          <w:tcPr>
            <w:tcW w:w="495" w:type="pct"/>
            <w:tcBorders>
              <w:top w:val="nil"/>
              <w:left w:val="nil"/>
              <w:bottom w:val="nil"/>
              <w:right w:val="nil"/>
            </w:tcBorders>
            <w:shd w:val="clear" w:color="auto" w:fill="auto"/>
            <w:noWrap/>
            <w:vAlign w:val="center"/>
            <w:hideMark/>
          </w:tcPr>
          <w:p w14:paraId="0CBAC719"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3,124</w:t>
            </w:r>
          </w:p>
        </w:tc>
        <w:tc>
          <w:tcPr>
            <w:tcW w:w="495" w:type="pct"/>
            <w:tcBorders>
              <w:top w:val="nil"/>
              <w:left w:val="nil"/>
              <w:bottom w:val="nil"/>
              <w:right w:val="nil"/>
            </w:tcBorders>
            <w:shd w:val="clear" w:color="auto" w:fill="auto"/>
            <w:noWrap/>
            <w:vAlign w:val="center"/>
            <w:hideMark/>
          </w:tcPr>
          <w:p w14:paraId="7474BCBB"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4,282</w:t>
            </w:r>
          </w:p>
        </w:tc>
        <w:tc>
          <w:tcPr>
            <w:tcW w:w="495" w:type="pct"/>
            <w:tcBorders>
              <w:top w:val="nil"/>
              <w:left w:val="nil"/>
              <w:bottom w:val="nil"/>
              <w:right w:val="nil"/>
            </w:tcBorders>
            <w:shd w:val="clear" w:color="auto" w:fill="auto"/>
            <w:noWrap/>
            <w:vAlign w:val="center"/>
            <w:hideMark/>
          </w:tcPr>
          <w:p w14:paraId="3D79558C"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w:t>
            </w:r>
          </w:p>
        </w:tc>
        <w:tc>
          <w:tcPr>
            <w:tcW w:w="51" w:type="pct"/>
            <w:tcBorders>
              <w:top w:val="nil"/>
              <w:left w:val="nil"/>
              <w:bottom w:val="nil"/>
              <w:right w:val="nil"/>
            </w:tcBorders>
            <w:shd w:val="clear" w:color="auto" w:fill="auto"/>
            <w:noWrap/>
            <w:vAlign w:val="center"/>
            <w:hideMark/>
          </w:tcPr>
          <w:p w14:paraId="72D3A49D"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3C5F0330"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w:t>
            </w:r>
          </w:p>
        </w:tc>
      </w:tr>
      <w:tr w:rsidR="00B6226B" w:rsidRPr="00966BD4" w14:paraId="4E0D5BD6"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30DAF19C"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Effect of parameter and other variations </w:t>
            </w:r>
          </w:p>
        </w:tc>
        <w:tc>
          <w:tcPr>
            <w:tcW w:w="495" w:type="pct"/>
            <w:tcBorders>
              <w:top w:val="nil"/>
              <w:left w:val="nil"/>
              <w:bottom w:val="nil"/>
              <w:right w:val="nil"/>
            </w:tcBorders>
            <w:shd w:val="clear" w:color="auto" w:fill="auto"/>
            <w:noWrap/>
            <w:vAlign w:val="center"/>
            <w:hideMark/>
          </w:tcPr>
          <w:p w14:paraId="5A73AE7C"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53,945</w:t>
            </w:r>
          </w:p>
        </w:tc>
        <w:tc>
          <w:tcPr>
            <w:tcW w:w="495" w:type="pct"/>
            <w:tcBorders>
              <w:top w:val="nil"/>
              <w:left w:val="nil"/>
              <w:bottom w:val="nil"/>
              <w:right w:val="nil"/>
            </w:tcBorders>
            <w:shd w:val="clear" w:color="000000" w:fill="E6F2FF"/>
            <w:noWrap/>
            <w:vAlign w:val="center"/>
            <w:hideMark/>
          </w:tcPr>
          <w:p w14:paraId="22F9A975"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30,901</w:t>
            </w:r>
          </w:p>
        </w:tc>
        <w:tc>
          <w:tcPr>
            <w:tcW w:w="495" w:type="pct"/>
            <w:tcBorders>
              <w:top w:val="nil"/>
              <w:left w:val="nil"/>
              <w:bottom w:val="nil"/>
              <w:right w:val="nil"/>
            </w:tcBorders>
            <w:shd w:val="clear" w:color="auto" w:fill="auto"/>
            <w:noWrap/>
            <w:vAlign w:val="center"/>
            <w:hideMark/>
          </w:tcPr>
          <w:p w14:paraId="5EE6C23F"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20,758</w:t>
            </w:r>
          </w:p>
        </w:tc>
        <w:tc>
          <w:tcPr>
            <w:tcW w:w="495" w:type="pct"/>
            <w:tcBorders>
              <w:top w:val="nil"/>
              <w:left w:val="nil"/>
              <w:bottom w:val="nil"/>
              <w:right w:val="nil"/>
            </w:tcBorders>
            <w:shd w:val="clear" w:color="auto" w:fill="auto"/>
            <w:noWrap/>
            <w:vAlign w:val="center"/>
            <w:hideMark/>
          </w:tcPr>
          <w:p w14:paraId="55B6D56F"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26,870</w:t>
            </w:r>
          </w:p>
        </w:tc>
        <w:tc>
          <w:tcPr>
            <w:tcW w:w="495" w:type="pct"/>
            <w:tcBorders>
              <w:top w:val="nil"/>
              <w:left w:val="nil"/>
              <w:bottom w:val="nil"/>
              <w:right w:val="nil"/>
            </w:tcBorders>
            <w:shd w:val="clear" w:color="auto" w:fill="auto"/>
            <w:noWrap/>
            <w:vAlign w:val="center"/>
            <w:hideMark/>
          </w:tcPr>
          <w:p w14:paraId="6226E867"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w:t>
            </w:r>
          </w:p>
        </w:tc>
        <w:tc>
          <w:tcPr>
            <w:tcW w:w="51" w:type="pct"/>
            <w:tcBorders>
              <w:top w:val="nil"/>
              <w:left w:val="nil"/>
              <w:bottom w:val="nil"/>
              <w:right w:val="nil"/>
            </w:tcBorders>
            <w:shd w:val="clear" w:color="auto" w:fill="auto"/>
            <w:noWrap/>
            <w:vAlign w:val="center"/>
            <w:hideMark/>
          </w:tcPr>
          <w:p w14:paraId="09AE9289"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09384074"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w:t>
            </w:r>
          </w:p>
        </w:tc>
      </w:tr>
      <w:tr w:rsidR="00B6226B" w:rsidRPr="00966BD4" w14:paraId="68071E27"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7188F555" w14:textId="77777777"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Total variations </w:t>
            </w:r>
          </w:p>
        </w:tc>
        <w:tc>
          <w:tcPr>
            <w:tcW w:w="495" w:type="pct"/>
            <w:tcBorders>
              <w:top w:val="single" w:sz="4" w:space="0" w:color="293F5B"/>
              <w:left w:val="nil"/>
              <w:bottom w:val="single" w:sz="4" w:space="0" w:color="293F5B"/>
              <w:right w:val="nil"/>
            </w:tcBorders>
            <w:shd w:val="clear" w:color="auto" w:fill="auto"/>
            <w:noWrap/>
            <w:vAlign w:val="center"/>
            <w:hideMark/>
          </w:tcPr>
          <w:p w14:paraId="2E38C0DB"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54,434</w:t>
            </w:r>
          </w:p>
        </w:tc>
        <w:tc>
          <w:tcPr>
            <w:tcW w:w="495" w:type="pct"/>
            <w:tcBorders>
              <w:top w:val="single" w:sz="4" w:space="0" w:color="293F5B"/>
              <w:left w:val="nil"/>
              <w:bottom w:val="single" w:sz="4" w:space="0" w:color="293F5B"/>
              <w:right w:val="nil"/>
            </w:tcBorders>
            <w:shd w:val="clear" w:color="000000" w:fill="E6F2FF"/>
            <w:noWrap/>
            <w:vAlign w:val="center"/>
            <w:hideMark/>
          </w:tcPr>
          <w:p w14:paraId="524B5884"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32,554</w:t>
            </w:r>
          </w:p>
        </w:tc>
        <w:tc>
          <w:tcPr>
            <w:tcW w:w="495" w:type="pct"/>
            <w:tcBorders>
              <w:top w:val="single" w:sz="4" w:space="0" w:color="293F5B"/>
              <w:left w:val="nil"/>
              <w:bottom w:val="single" w:sz="4" w:space="0" w:color="293F5B"/>
              <w:right w:val="nil"/>
            </w:tcBorders>
            <w:shd w:val="clear" w:color="auto" w:fill="auto"/>
            <w:noWrap/>
            <w:vAlign w:val="center"/>
            <w:hideMark/>
          </w:tcPr>
          <w:p w14:paraId="2F8F9A51"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23,881</w:t>
            </w:r>
          </w:p>
        </w:tc>
        <w:tc>
          <w:tcPr>
            <w:tcW w:w="495" w:type="pct"/>
            <w:tcBorders>
              <w:top w:val="single" w:sz="4" w:space="0" w:color="293F5B"/>
              <w:left w:val="nil"/>
              <w:bottom w:val="single" w:sz="4" w:space="0" w:color="293F5B"/>
              <w:right w:val="nil"/>
            </w:tcBorders>
            <w:shd w:val="clear" w:color="auto" w:fill="auto"/>
            <w:noWrap/>
            <w:vAlign w:val="center"/>
            <w:hideMark/>
          </w:tcPr>
          <w:p w14:paraId="331FF184"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31,152</w:t>
            </w:r>
          </w:p>
        </w:tc>
        <w:tc>
          <w:tcPr>
            <w:tcW w:w="495" w:type="pct"/>
            <w:tcBorders>
              <w:top w:val="single" w:sz="4" w:space="0" w:color="293F5B"/>
              <w:left w:val="nil"/>
              <w:bottom w:val="single" w:sz="4" w:space="0" w:color="293F5B"/>
              <w:right w:val="nil"/>
            </w:tcBorders>
            <w:shd w:val="clear" w:color="auto" w:fill="auto"/>
            <w:noWrap/>
            <w:vAlign w:val="center"/>
            <w:hideMark/>
          </w:tcPr>
          <w:p w14:paraId="6B81117E"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1" w:type="pct"/>
            <w:tcBorders>
              <w:top w:val="nil"/>
              <w:left w:val="nil"/>
              <w:bottom w:val="nil"/>
              <w:right w:val="nil"/>
            </w:tcBorders>
            <w:shd w:val="clear" w:color="auto" w:fill="auto"/>
            <w:noWrap/>
            <w:vAlign w:val="center"/>
            <w:hideMark/>
          </w:tcPr>
          <w:p w14:paraId="518905FC"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single" w:sz="4" w:space="0" w:color="293F5B"/>
              <w:left w:val="nil"/>
              <w:bottom w:val="single" w:sz="4" w:space="0" w:color="293F5B"/>
              <w:right w:val="nil"/>
            </w:tcBorders>
            <w:shd w:val="clear" w:color="auto" w:fill="auto"/>
            <w:noWrap/>
            <w:vAlign w:val="center"/>
            <w:hideMark/>
          </w:tcPr>
          <w:p w14:paraId="10B76E17"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B6226B" w:rsidRPr="00966BD4" w14:paraId="08A2266C"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741CA80A" w14:textId="17949F23"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Tax receipts at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95" w:type="pct"/>
            <w:tcBorders>
              <w:top w:val="nil"/>
              <w:left w:val="nil"/>
              <w:bottom w:val="nil"/>
              <w:right w:val="nil"/>
            </w:tcBorders>
            <w:shd w:val="clear" w:color="auto" w:fill="auto"/>
            <w:noWrap/>
            <w:vAlign w:val="center"/>
            <w:hideMark/>
          </w:tcPr>
          <w:p w14:paraId="0A677ABA"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562,858</w:t>
            </w:r>
          </w:p>
        </w:tc>
        <w:tc>
          <w:tcPr>
            <w:tcW w:w="495" w:type="pct"/>
            <w:tcBorders>
              <w:top w:val="nil"/>
              <w:left w:val="nil"/>
              <w:bottom w:val="nil"/>
              <w:right w:val="nil"/>
            </w:tcBorders>
            <w:shd w:val="clear" w:color="000000" w:fill="E6F2FF"/>
            <w:noWrap/>
            <w:vAlign w:val="center"/>
            <w:hideMark/>
          </w:tcPr>
          <w:p w14:paraId="3EDBE50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574,292</w:t>
            </w:r>
          </w:p>
        </w:tc>
        <w:tc>
          <w:tcPr>
            <w:tcW w:w="495" w:type="pct"/>
            <w:tcBorders>
              <w:top w:val="nil"/>
              <w:left w:val="nil"/>
              <w:bottom w:val="nil"/>
              <w:right w:val="nil"/>
            </w:tcBorders>
            <w:shd w:val="clear" w:color="auto" w:fill="auto"/>
            <w:noWrap/>
            <w:vAlign w:val="center"/>
            <w:hideMark/>
          </w:tcPr>
          <w:p w14:paraId="14EECF09"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590,451</w:t>
            </w:r>
          </w:p>
        </w:tc>
        <w:tc>
          <w:tcPr>
            <w:tcW w:w="495" w:type="pct"/>
            <w:tcBorders>
              <w:top w:val="nil"/>
              <w:left w:val="nil"/>
              <w:bottom w:val="nil"/>
              <w:right w:val="nil"/>
            </w:tcBorders>
            <w:shd w:val="clear" w:color="auto" w:fill="auto"/>
            <w:noWrap/>
            <w:vAlign w:val="center"/>
            <w:hideMark/>
          </w:tcPr>
          <w:p w14:paraId="28893F4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629,335</w:t>
            </w:r>
          </w:p>
        </w:tc>
        <w:tc>
          <w:tcPr>
            <w:tcW w:w="495" w:type="pct"/>
            <w:tcBorders>
              <w:top w:val="nil"/>
              <w:left w:val="nil"/>
              <w:bottom w:val="nil"/>
              <w:right w:val="nil"/>
            </w:tcBorders>
            <w:shd w:val="clear" w:color="auto" w:fill="auto"/>
            <w:noWrap/>
            <w:vAlign w:val="center"/>
            <w:hideMark/>
          </w:tcPr>
          <w:p w14:paraId="344E14D6"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655,471</w:t>
            </w:r>
          </w:p>
        </w:tc>
        <w:tc>
          <w:tcPr>
            <w:tcW w:w="51" w:type="pct"/>
            <w:tcBorders>
              <w:top w:val="nil"/>
              <w:left w:val="nil"/>
              <w:bottom w:val="nil"/>
              <w:right w:val="nil"/>
            </w:tcBorders>
            <w:shd w:val="clear" w:color="auto" w:fill="auto"/>
            <w:noWrap/>
            <w:vAlign w:val="center"/>
            <w:hideMark/>
          </w:tcPr>
          <w:p w14:paraId="3282217F"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454BD11D"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3,012,407</w:t>
            </w:r>
          </w:p>
        </w:tc>
      </w:tr>
      <w:tr w:rsidR="00B6226B" w:rsidRPr="00966BD4" w14:paraId="13BDBB3E" w14:textId="77777777" w:rsidTr="00B000D8">
        <w:trPr>
          <w:divId w:val="1614555134"/>
          <w:trHeight w:hRule="exact" w:val="60"/>
        </w:trPr>
        <w:tc>
          <w:tcPr>
            <w:tcW w:w="1978" w:type="pct"/>
            <w:tcBorders>
              <w:top w:val="nil"/>
              <w:left w:val="nil"/>
              <w:bottom w:val="nil"/>
              <w:right w:val="nil"/>
            </w:tcBorders>
            <w:shd w:val="clear" w:color="auto" w:fill="auto"/>
            <w:vAlign w:val="center"/>
            <w:hideMark/>
          </w:tcPr>
          <w:p w14:paraId="4FA8AB64"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14C3F0F9" w14:textId="77777777" w:rsidR="00B000D8" w:rsidRPr="00966BD4" w:rsidRDefault="00B000D8" w:rsidP="00B000D8">
            <w:pPr>
              <w:spacing w:before="0" w:after="0" w:line="240" w:lineRule="auto"/>
              <w:jc w:val="right"/>
              <w:rPr>
                <w:rFonts w:ascii="Times New Roman" w:hAnsi="Times New Roman"/>
                <w:sz w:val="20"/>
              </w:rPr>
            </w:pPr>
          </w:p>
        </w:tc>
        <w:tc>
          <w:tcPr>
            <w:tcW w:w="495" w:type="pct"/>
            <w:tcBorders>
              <w:top w:val="nil"/>
              <w:left w:val="nil"/>
              <w:bottom w:val="nil"/>
              <w:right w:val="nil"/>
            </w:tcBorders>
            <w:shd w:val="clear" w:color="000000" w:fill="E6F2FF"/>
            <w:noWrap/>
            <w:vAlign w:val="center"/>
            <w:hideMark/>
          </w:tcPr>
          <w:p w14:paraId="3C004B89"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 </w:t>
            </w:r>
          </w:p>
        </w:tc>
        <w:tc>
          <w:tcPr>
            <w:tcW w:w="495" w:type="pct"/>
            <w:tcBorders>
              <w:top w:val="nil"/>
              <w:left w:val="nil"/>
              <w:bottom w:val="nil"/>
              <w:right w:val="nil"/>
            </w:tcBorders>
            <w:shd w:val="clear" w:color="auto" w:fill="auto"/>
            <w:noWrap/>
            <w:vAlign w:val="center"/>
            <w:hideMark/>
          </w:tcPr>
          <w:p w14:paraId="725EA0C1"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334A1216"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3BA4A724"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36ACDF0E"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20F5E0CC" w14:textId="77777777" w:rsidR="00B000D8" w:rsidRPr="00966BD4" w:rsidRDefault="00B000D8" w:rsidP="00B000D8">
            <w:pPr>
              <w:spacing w:before="0" w:after="0" w:line="240" w:lineRule="auto"/>
              <w:rPr>
                <w:rFonts w:ascii="Times New Roman" w:hAnsi="Times New Roman"/>
                <w:sz w:val="20"/>
              </w:rPr>
            </w:pPr>
          </w:p>
        </w:tc>
      </w:tr>
      <w:tr w:rsidR="00B6226B" w:rsidRPr="00966BD4" w14:paraId="114694A0"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70C4F7C9" w14:textId="7937035B"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Changes from 2022</w:t>
            </w:r>
            <w:r w:rsidR="001B77CF">
              <w:rPr>
                <w:rFonts w:ascii="Arial" w:hAnsi="Arial" w:cs="Arial"/>
                <w:b/>
                <w:bCs/>
                <w:sz w:val="16"/>
                <w:szCs w:val="16"/>
              </w:rPr>
              <w:noBreakHyphen/>
            </w:r>
            <w:r w:rsidRPr="00966BD4">
              <w:rPr>
                <w:rFonts w:ascii="Arial" w:hAnsi="Arial" w:cs="Arial"/>
                <w:b/>
                <w:bCs/>
                <w:sz w:val="16"/>
                <w:szCs w:val="16"/>
              </w:rPr>
              <w:t>23 October Budget</w:t>
            </w:r>
          </w:p>
        </w:tc>
        <w:tc>
          <w:tcPr>
            <w:tcW w:w="495" w:type="pct"/>
            <w:tcBorders>
              <w:top w:val="nil"/>
              <w:left w:val="nil"/>
              <w:bottom w:val="nil"/>
              <w:right w:val="nil"/>
            </w:tcBorders>
            <w:shd w:val="clear" w:color="auto" w:fill="auto"/>
            <w:noWrap/>
            <w:vAlign w:val="center"/>
            <w:hideMark/>
          </w:tcPr>
          <w:p w14:paraId="4F62D80C" w14:textId="77777777" w:rsidR="00B000D8" w:rsidRPr="00966BD4" w:rsidRDefault="00B000D8" w:rsidP="00B000D8">
            <w:pPr>
              <w:spacing w:before="0" w:after="0" w:line="240" w:lineRule="auto"/>
              <w:rPr>
                <w:rFonts w:ascii="Arial" w:hAnsi="Arial" w:cs="Arial"/>
                <w:b/>
                <w:bCs/>
                <w:sz w:val="16"/>
                <w:szCs w:val="16"/>
              </w:rPr>
            </w:pPr>
          </w:p>
        </w:tc>
        <w:tc>
          <w:tcPr>
            <w:tcW w:w="495" w:type="pct"/>
            <w:tcBorders>
              <w:top w:val="nil"/>
              <w:left w:val="nil"/>
              <w:bottom w:val="nil"/>
              <w:right w:val="nil"/>
            </w:tcBorders>
            <w:shd w:val="clear" w:color="000000" w:fill="E6F2FF"/>
            <w:noWrap/>
            <w:vAlign w:val="center"/>
            <w:hideMark/>
          </w:tcPr>
          <w:p w14:paraId="1E073248"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495" w:type="pct"/>
            <w:tcBorders>
              <w:top w:val="nil"/>
              <w:left w:val="nil"/>
              <w:bottom w:val="nil"/>
              <w:right w:val="nil"/>
            </w:tcBorders>
            <w:shd w:val="clear" w:color="auto" w:fill="auto"/>
            <w:noWrap/>
            <w:vAlign w:val="center"/>
            <w:hideMark/>
          </w:tcPr>
          <w:p w14:paraId="1520B98B"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237AC49E"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37D5A0F0"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198BF23A"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28D86926" w14:textId="77777777" w:rsidR="00B000D8" w:rsidRPr="00966BD4" w:rsidRDefault="00B000D8" w:rsidP="00B000D8">
            <w:pPr>
              <w:spacing w:before="0" w:after="0" w:line="240" w:lineRule="auto"/>
              <w:rPr>
                <w:rFonts w:ascii="Times New Roman" w:hAnsi="Times New Roman"/>
                <w:sz w:val="20"/>
              </w:rPr>
            </w:pPr>
          </w:p>
        </w:tc>
      </w:tr>
      <w:tr w:rsidR="00B6226B" w:rsidRPr="00966BD4" w14:paraId="0251C325"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5BC06BFB" w14:textId="6ED448B5" w:rsidR="00B000D8" w:rsidRPr="00966BD4" w:rsidRDefault="00B000D8" w:rsidP="00B000D8">
            <w:pPr>
              <w:spacing w:before="0" w:after="0" w:line="240" w:lineRule="auto"/>
              <w:ind w:left="170"/>
              <w:rPr>
                <w:rFonts w:ascii="Arial" w:hAnsi="Arial" w:cs="Arial"/>
                <w:b/>
                <w:bCs/>
                <w:sz w:val="16"/>
                <w:szCs w:val="16"/>
              </w:rPr>
            </w:pPr>
            <w:r w:rsidRPr="00966BD4">
              <w:rPr>
                <w:rFonts w:ascii="Arial" w:hAnsi="Arial" w:cs="Arial"/>
                <w:b/>
                <w:bCs/>
                <w:sz w:val="16"/>
                <w:szCs w:val="16"/>
              </w:rPr>
              <w:t>to 2023</w:t>
            </w:r>
            <w:r w:rsidR="001B77CF">
              <w:rPr>
                <w:rFonts w:ascii="Arial" w:hAnsi="Arial" w:cs="Arial"/>
                <w:b/>
                <w:bCs/>
                <w:sz w:val="16"/>
                <w:szCs w:val="16"/>
              </w:rPr>
              <w:noBreakHyphen/>
            </w:r>
            <w:r w:rsidRPr="00966BD4">
              <w:rPr>
                <w:rFonts w:ascii="Arial" w:hAnsi="Arial" w:cs="Arial"/>
                <w:b/>
                <w:bCs/>
                <w:sz w:val="16"/>
                <w:szCs w:val="16"/>
              </w:rPr>
              <w:t>24 Budget </w:t>
            </w:r>
          </w:p>
        </w:tc>
        <w:tc>
          <w:tcPr>
            <w:tcW w:w="495" w:type="pct"/>
            <w:tcBorders>
              <w:top w:val="nil"/>
              <w:left w:val="nil"/>
              <w:bottom w:val="nil"/>
              <w:right w:val="nil"/>
            </w:tcBorders>
            <w:shd w:val="clear" w:color="auto" w:fill="auto"/>
            <w:noWrap/>
            <w:vAlign w:val="center"/>
            <w:hideMark/>
          </w:tcPr>
          <w:p w14:paraId="7FFB5C50" w14:textId="77777777" w:rsidR="00B000D8" w:rsidRPr="00966BD4" w:rsidRDefault="00B000D8" w:rsidP="00B000D8">
            <w:pPr>
              <w:spacing w:before="0" w:after="0" w:line="240" w:lineRule="auto"/>
              <w:ind w:firstLineChars="100" w:firstLine="161"/>
              <w:rPr>
                <w:rFonts w:ascii="Arial" w:hAnsi="Arial" w:cs="Arial"/>
                <w:b/>
                <w:bCs/>
                <w:sz w:val="16"/>
                <w:szCs w:val="16"/>
              </w:rPr>
            </w:pPr>
          </w:p>
        </w:tc>
        <w:tc>
          <w:tcPr>
            <w:tcW w:w="495" w:type="pct"/>
            <w:tcBorders>
              <w:top w:val="nil"/>
              <w:left w:val="nil"/>
              <w:bottom w:val="nil"/>
              <w:right w:val="nil"/>
            </w:tcBorders>
            <w:shd w:val="clear" w:color="000000" w:fill="E6F2FF"/>
            <w:noWrap/>
            <w:vAlign w:val="center"/>
            <w:hideMark/>
          </w:tcPr>
          <w:p w14:paraId="69116AFC"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495" w:type="pct"/>
            <w:tcBorders>
              <w:top w:val="nil"/>
              <w:left w:val="nil"/>
              <w:bottom w:val="nil"/>
              <w:right w:val="nil"/>
            </w:tcBorders>
            <w:shd w:val="clear" w:color="auto" w:fill="auto"/>
            <w:noWrap/>
            <w:vAlign w:val="center"/>
            <w:hideMark/>
          </w:tcPr>
          <w:p w14:paraId="5C42448D"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754CAA7D"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19357260" w14:textId="77777777" w:rsidR="00B000D8" w:rsidRPr="00966BD4" w:rsidRDefault="00B000D8" w:rsidP="00B000D8">
            <w:pPr>
              <w:spacing w:before="0" w:after="0" w:line="240" w:lineRule="auto"/>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3271952F"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4A74EA6A" w14:textId="77777777" w:rsidR="00B000D8" w:rsidRPr="00966BD4" w:rsidRDefault="00B000D8" w:rsidP="00B000D8">
            <w:pPr>
              <w:spacing w:before="0" w:after="0" w:line="240" w:lineRule="auto"/>
              <w:rPr>
                <w:rFonts w:ascii="Times New Roman" w:hAnsi="Times New Roman"/>
                <w:sz w:val="20"/>
              </w:rPr>
            </w:pPr>
          </w:p>
        </w:tc>
      </w:tr>
      <w:tr w:rsidR="00B6226B" w:rsidRPr="00966BD4" w14:paraId="2B75ABFB"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15B825BB"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Effect of policy decisions </w:t>
            </w:r>
          </w:p>
        </w:tc>
        <w:tc>
          <w:tcPr>
            <w:tcW w:w="495" w:type="pct"/>
            <w:tcBorders>
              <w:top w:val="nil"/>
              <w:left w:val="nil"/>
              <w:bottom w:val="nil"/>
              <w:right w:val="nil"/>
            </w:tcBorders>
            <w:shd w:val="clear" w:color="auto" w:fill="auto"/>
            <w:noWrap/>
            <w:vAlign w:val="center"/>
            <w:hideMark/>
          </w:tcPr>
          <w:p w14:paraId="548C2EC2"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20</w:t>
            </w:r>
          </w:p>
        </w:tc>
        <w:tc>
          <w:tcPr>
            <w:tcW w:w="495" w:type="pct"/>
            <w:tcBorders>
              <w:top w:val="nil"/>
              <w:left w:val="nil"/>
              <w:bottom w:val="nil"/>
              <w:right w:val="nil"/>
            </w:tcBorders>
            <w:shd w:val="clear" w:color="000000" w:fill="E6F2FF"/>
            <w:noWrap/>
            <w:vAlign w:val="center"/>
            <w:hideMark/>
          </w:tcPr>
          <w:p w14:paraId="20EA9F52"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1,267</w:t>
            </w:r>
          </w:p>
        </w:tc>
        <w:tc>
          <w:tcPr>
            <w:tcW w:w="495" w:type="pct"/>
            <w:tcBorders>
              <w:top w:val="nil"/>
              <w:left w:val="nil"/>
              <w:bottom w:val="nil"/>
              <w:right w:val="nil"/>
            </w:tcBorders>
            <w:shd w:val="clear" w:color="auto" w:fill="auto"/>
            <w:noWrap/>
            <w:vAlign w:val="center"/>
            <w:hideMark/>
          </w:tcPr>
          <w:p w14:paraId="63EED445"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4,692</w:t>
            </w:r>
          </w:p>
        </w:tc>
        <w:tc>
          <w:tcPr>
            <w:tcW w:w="495" w:type="pct"/>
            <w:tcBorders>
              <w:top w:val="nil"/>
              <w:left w:val="nil"/>
              <w:bottom w:val="nil"/>
              <w:right w:val="nil"/>
            </w:tcBorders>
            <w:shd w:val="clear" w:color="auto" w:fill="auto"/>
            <w:noWrap/>
            <w:vAlign w:val="center"/>
            <w:hideMark/>
          </w:tcPr>
          <w:p w14:paraId="5C523FD8"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5,636</w:t>
            </w:r>
          </w:p>
        </w:tc>
        <w:tc>
          <w:tcPr>
            <w:tcW w:w="495" w:type="pct"/>
            <w:tcBorders>
              <w:top w:val="nil"/>
              <w:left w:val="nil"/>
              <w:bottom w:val="nil"/>
              <w:right w:val="nil"/>
            </w:tcBorders>
            <w:shd w:val="clear" w:color="auto" w:fill="auto"/>
            <w:noWrap/>
            <w:vAlign w:val="center"/>
            <w:hideMark/>
          </w:tcPr>
          <w:p w14:paraId="5A682712"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7,531</w:t>
            </w:r>
          </w:p>
        </w:tc>
        <w:tc>
          <w:tcPr>
            <w:tcW w:w="51" w:type="pct"/>
            <w:tcBorders>
              <w:top w:val="nil"/>
              <w:left w:val="nil"/>
              <w:bottom w:val="nil"/>
              <w:right w:val="nil"/>
            </w:tcBorders>
            <w:shd w:val="clear" w:color="auto" w:fill="auto"/>
            <w:noWrap/>
            <w:vAlign w:val="center"/>
            <w:hideMark/>
          </w:tcPr>
          <w:p w14:paraId="68AFC311"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39DB41BC"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19,146</w:t>
            </w:r>
          </w:p>
        </w:tc>
      </w:tr>
      <w:tr w:rsidR="00B6226B" w:rsidRPr="00966BD4" w14:paraId="6E7D04F0"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5C537820" w14:textId="77777777" w:rsidR="00B000D8" w:rsidRPr="00966BD4" w:rsidRDefault="00B000D8" w:rsidP="00B000D8">
            <w:pPr>
              <w:spacing w:before="0" w:after="0" w:line="240" w:lineRule="auto"/>
              <w:rPr>
                <w:rFonts w:ascii="Arial" w:hAnsi="Arial" w:cs="Arial"/>
                <w:sz w:val="16"/>
                <w:szCs w:val="16"/>
              </w:rPr>
            </w:pPr>
            <w:r w:rsidRPr="00966BD4">
              <w:rPr>
                <w:rFonts w:ascii="Arial" w:hAnsi="Arial" w:cs="Arial"/>
                <w:sz w:val="16"/>
                <w:szCs w:val="16"/>
              </w:rPr>
              <w:t>Effect of parameter and other variations </w:t>
            </w:r>
          </w:p>
        </w:tc>
        <w:tc>
          <w:tcPr>
            <w:tcW w:w="495" w:type="pct"/>
            <w:tcBorders>
              <w:top w:val="nil"/>
              <w:left w:val="nil"/>
              <w:bottom w:val="nil"/>
              <w:right w:val="nil"/>
            </w:tcBorders>
            <w:shd w:val="clear" w:color="auto" w:fill="auto"/>
            <w:noWrap/>
            <w:vAlign w:val="center"/>
            <w:hideMark/>
          </w:tcPr>
          <w:p w14:paraId="09344975"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25,172</w:t>
            </w:r>
          </w:p>
        </w:tc>
        <w:tc>
          <w:tcPr>
            <w:tcW w:w="495" w:type="pct"/>
            <w:tcBorders>
              <w:top w:val="nil"/>
              <w:left w:val="nil"/>
              <w:bottom w:val="nil"/>
              <w:right w:val="nil"/>
            </w:tcBorders>
            <w:shd w:val="clear" w:color="000000" w:fill="E6F2FF"/>
            <w:noWrap/>
            <w:vAlign w:val="center"/>
            <w:hideMark/>
          </w:tcPr>
          <w:p w14:paraId="35F2BB36"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40,717</w:t>
            </w:r>
          </w:p>
        </w:tc>
        <w:tc>
          <w:tcPr>
            <w:tcW w:w="495" w:type="pct"/>
            <w:tcBorders>
              <w:top w:val="nil"/>
              <w:left w:val="nil"/>
              <w:bottom w:val="nil"/>
              <w:right w:val="nil"/>
            </w:tcBorders>
            <w:shd w:val="clear" w:color="auto" w:fill="auto"/>
            <w:noWrap/>
            <w:vAlign w:val="center"/>
            <w:hideMark/>
          </w:tcPr>
          <w:p w14:paraId="3C04D8D0"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19,189</w:t>
            </w:r>
          </w:p>
        </w:tc>
        <w:tc>
          <w:tcPr>
            <w:tcW w:w="495" w:type="pct"/>
            <w:tcBorders>
              <w:top w:val="nil"/>
              <w:left w:val="nil"/>
              <w:bottom w:val="nil"/>
              <w:right w:val="nil"/>
            </w:tcBorders>
            <w:shd w:val="clear" w:color="auto" w:fill="auto"/>
            <w:noWrap/>
            <w:vAlign w:val="center"/>
            <w:hideMark/>
          </w:tcPr>
          <w:p w14:paraId="20FE875F"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12,875</w:t>
            </w:r>
          </w:p>
        </w:tc>
        <w:tc>
          <w:tcPr>
            <w:tcW w:w="495" w:type="pct"/>
            <w:tcBorders>
              <w:top w:val="nil"/>
              <w:left w:val="nil"/>
              <w:bottom w:val="nil"/>
              <w:right w:val="nil"/>
            </w:tcBorders>
            <w:shd w:val="clear" w:color="auto" w:fill="auto"/>
            <w:noWrap/>
            <w:vAlign w:val="center"/>
            <w:hideMark/>
          </w:tcPr>
          <w:p w14:paraId="5F9BF8E3"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17,740</w:t>
            </w:r>
          </w:p>
        </w:tc>
        <w:tc>
          <w:tcPr>
            <w:tcW w:w="51" w:type="pct"/>
            <w:tcBorders>
              <w:top w:val="nil"/>
              <w:left w:val="nil"/>
              <w:bottom w:val="nil"/>
              <w:right w:val="nil"/>
            </w:tcBorders>
            <w:shd w:val="clear" w:color="auto" w:fill="auto"/>
            <w:noWrap/>
            <w:vAlign w:val="center"/>
            <w:hideMark/>
          </w:tcPr>
          <w:p w14:paraId="7DA81133"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33A8D195"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115,694</w:t>
            </w:r>
          </w:p>
        </w:tc>
      </w:tr>
      <w:tr w:rsidR="00B6226B" w:rsidRPr="00966BD4" w14:paraId="5572EBFF" w14:textId="77777777" w:rsidTr="00B000D8">
        <w:trPr>
          <w:divId w:val="1614555134"/>
          <w:trHeight w:hRule="exact" w:val="225"/>
        </w:trPr>
        <w:tc>
          <w:tcPr>
            <w:tcW w:w="1978" w:type="pct"/>
            <w:tcBorders>
              <w:top w:val="nil"/>
              <w:left w:val="nil"/>
              <w:bottom w:val="nil"/>
              <w:right w:val="nil"/>
            </w:tcBorders>
            <w:shd w:val="clear" w:color="auto" w:fill="auto"/>
            <w:vAlign w:val="center"/>
            <w:hideMark/>
          </w:tcPr>
          <w:p w14:paraId="4D3353C9" w14:textId="77777777"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Total variations </w:t>
            </w:r>
          </w:p>
        </w:tc>
        <w:tc>
          <w:tcPr>
            <w:tcW w:w="495" w:type="pct"/>
            <w:tcBorders>
              <w:top w:val="single" w:sz="4" w:space="0" w:color="293F5B"/>
              <w:left w:val="nil"/>
              <w:bottom w:val="single" w:sz="4" w:space="0" w:color="293F5B"/>
              <w:right w:val="nil"/>
            </w:tcBorders>
            <w:shd w:val="clear" w:color="auto" w:fill="auto"/>
            <w:noWrap/>
            <w:vAlign w:val="center"/>
            <w:hideMark/>
          </w:tcPr>
          <w:p w14:paraId="452235BD"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25,192</w:t>
            </w:r>
          </w:p>
        </w:tc>
        <w:tc>
          <w:tcPr>
            <w:tcW w:w="495" w:type="pct"/>
            <w:tcBorders>
              <w:top w:val="single" w:sz="4" w:space="0" w:color="293F5B"/>
              <w:left w:val="nil"/>
              <w:bottom w:val="single" w:sz="4" w:space="0" w:color="293F5B"/>
              <w:right w:val="nil"/>
            </w:tcBorders>
            <w:shd w:val="clear" w:color="000000" w:fill="E6F2FF"/>
            <w:noWrap/>
            <w:vAlign w:val="center"/>
            <w:hideMark/>
          </w:tcPr>
          <w:p w14:paraId="4C7466D5"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41,984</w:t>
            </w:r>
          </w:p>
        </w:tc>
        <w:tc>
          <w:tcPr>
            <w:tcW w:w="495" w:type="pct"/>
            <w:tcBorders>
              <w:top w:val="single" w:sz="4" w:space="0" w:color="293F5B"/>
              <w:left w:val="nil"/>
              <w:bottom w:val="single" w:sz="4" w:space="0" w:color="293F5B"/>
              <w:right w:val="nil"/>
            </w:tcBorders>
            <w:shd w:val="clear" w:color="auto" w:fill="auto"/>
            <w:noWrap/>
            <w:vAlign w:val="center"/>
            <w:hideMark/>
          </w:tcPr>
          <w:p w14:paraId="2899C4AF"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23,881</w:t>
            </w:r>
          </w:p>
        </w:tc>
        <w:tc>
          <w:tcPr>
            <w:tcW w:w="495" w:type="pct"/>
            <w:tcBorders>
              <w:top w:val="single" w:sz="4" w:space="0" w:color="293F5B"/>
              <w:left w:val="nil"/>
              <w:bottom w:val="single" w:sz="4" w:space="0" w:color="293F5B"/>
              <w:right w:val="nil"/>
            </w:tcBorders>
            <w:shd w:val="clear" w:color="auto" w:fill="auto"/>
            <w:noWrap/>
            <w:vAlign w:val="center"/>
            <w:hideMark/>
          </w:tcPr>
          <w:p w14:paraId="2E1B361B"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18,511</w:t>
            </w:r>
          </w:p>
        </w:tc>
        <w:tc>
          <w:tcPr>
            <w:tcW w:w="495" w:type="pct"/>
            <w:tcBorders>
              <w:top w:val="single" w:sz="4" w:space="0" w:color="293F5B"/>
              <w:left w:val="nil"/>
              <w:bottom w:val="single" w:sz="4" w:space="0" w:color="293F5B"/>
              <w:right w:val="nil"/>
            </w:tcBorders>
            <w:shd w:val="clear" w:color="auto" w:fill="auto"/>
            <w:noWrap/>
            <w:vAlign w:val="center"/>
            <w:hideMark/>
          </w:tcPr>
          <w:p w14:paraId="64F77D0D"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25,272</w:t>
            </w:r>
          </w:p>
        </w:tc>
        <w:tc>
          <w:tcPr>
            <w:tcW w:w="51" w:type="pct"/>
            <w:tcBorders>
              <w:top w:val="nil"/>
              <w:left w:val="nil"/>
              <w:bottom w:val="nil"/>
              <w:right w:val="nil"/>
            </w:tcBorders>
            <w:shd w:val="clear" w:color="auto" w:fill="auto"/>
            <w:noWrap/>
            <w:vAlign w:val="center"/>
            <w:hideMark/>
          </w:tcPr>
          <w:p w14:paraId="0585545C"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single" w:sz="4" w:space="0" w:color="293F5B"/>
              <w:left w:val="nil"/>
              <w:bottom w:val="single" w:sz="4" w:space="0" w:color="293F5B"/>
              <w:right w:val="nil"/>
            </w:tcBorders>
            <w:shd w:val="clear" w:color="auto" w:fill="auto"/>
            <w:noWrap/>
            <w:vAlign w:val="center"/>
            <w:hideMark/>
          </w:tcPr>
          <w:p w14:paraId="670211D4"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134,840</w:t>
            </w:r>
          </w:p>
        </w:tc>
      </w:tr>
      <w:tr w:rsidR="00B6226B" w:rsidRPr="00966BD4" w14:paraId="145370BE" w14:textId="77777777" w:rsidTr="00B000D8">
        <w:trPr>
          <w:divId w:val="1614555134"/>
          <w:trHeight w:hRule="exact" w:val="60"/>
        </w:trPr>
        <w:tc>
          <w:tcPr>
            <w:tcW w:w="1978" w:type="pct"/>
            <w:tcBorders>
              <w:top w:val="nil"/>
              <w:left w:val="nil"/>
              <w:bottom w:val="nil"/>
              <w:right w:val="nil"/>
            </w:tcBorders>
            <w:shd w:val="clear" w:color="auto" w:fill="auto"/>
            <w:vAlign w:val="center"/>
            <w:hideMark/>
          </w:tcPr>
          <w:p w14:paraId="34D48AC0" w14:textId="77777777" w:rsidR="00B000D8" w:rsidRPr="00966BD4" w:rsidRDefault="00B000D8" w:rsidP="00B000D8">
            <w:pPr>
              <w:spacing w:before="0" w:after="0" w:line="240" w:lineRule="auto"/>
              <w:jc w:val="right"/>
              <w:rPr>
                <w:rFonts w:ascii="Arial" w:hAnsi="Arial" w:cs="Arial"/>
                <w:b/>
                <w:bCs/>
                <w:sz w:val="16"/>
                <w:szCs w:val="16"/>
              </w:rPr>
            </w:pPr>
          </w:p>
        </w:tc>
        <w:tc>
          <w:tcPr>
            <w:tcW w:w="495" w:type="pct"/>
            <w:tcBorders>
              <w:top w:val="nil"/>
              <w:left w:val="nil"/>
              <w:bottom w:val="nil"/>
              <w:right w:val="nil"/>
            </w:tcBorders>
            <w:shd w:val="clear" w:color="auto" w:fill="auto"/>
            <w:noWrap/>
            <w:vAlign w:val="center"/>
            <w:hideMark/>
          </w:tcPr>
          <w:p w14:paraId="58DBBDEB" w14:textId="77777777" w:rsidR="00B000D8" w:rsidRPr="00966BD4" w:rsidRDefault="00B000D8" w:rsidP="00B000D8">
            <w:pPr>
              <w:spacing w:before="0" w:after="0" w:line="240" w:lineRule="auto"/>
              <w:rPr>
                <w:rFonts w:ascii="Times New Roman" w:hAnsi="Times New Roman"/>
                <w:sz w:val="20"/>
              </w:rPr>
            </w:pPr>
          </w:p>
        </w:tc>
        <w:tc>
          <w:tcPr>
            <w:tcW w:w="495" w:type="pct"/>
            <w:tcBorders>
              <w:top w:val="nil"/>
              <w:left w:val="nil"/>
              <w:bottom w:val="nil"/>
              <w:right w:val="nil"/>
            </w:tcBorders>
            <w:shd w:val="clear" w:color="000000" w:fill="E6F2FF"/>
            <w:noWrap/>
            <w:vAlign w:val="center"/>
            <w:hideMark/>
          </w:tcPr>
          <w:p w14:paraId="0111B5DE" w14:textId="77777777" w:rsidR="00B000D8" w:rsidRPr="00966BD4" w:rsidRDefault="00B000D8" w:rsidP="00B000D8">
            <w:pPr>
              <w:spacing w:before="0" w:after="0" w:line="240" w:lineRule="auto"/>
              <w:jc w:val="right"/>
              <w:rPr>
                <w:rFonts w:ascii="Arial" w:hAnsi="Arial" w:cs="Arial"/>
                <w:sz w:val="16"/>
                <w:szCs w:val="16"/>
              </w:rPr>
            </w:pPr>
            <w:r w:rsidRPr="00966BD4">
              <w:rPr>
                <w:rFonts w:ascii="Arial" w:hAnsi="Arial" w:cs="Arial"/>
                <w:sz w:val="16"/>
                <w:szCs w:val="16"/>
              </w:rPr>
              <w:t> </w:t>
            </w:r>
          </w:p>
        </w:tc>
        <w:tc>
          <w:tcPr>
            <w:tcW w:w="495" w:type="pct"/>
            <w:tcBorders>
              <w:top w:val="nil"/>
              <w:left w:val="nil"/>
              <w:bottom w:val="nil"/>
              <w:right w:val="nil"/>
            </w:tcBorders>
            <w:shd w:val="clear" w:color="auto" w:fill="auto"/>
            <w:noWrap/>
            <w:vAlign w:val="center"/>
            <w:hideMark/>
          </w:tcPr>
          <w:p w14:paraId="1F7AC2CB" w14:textId="77777777" w:rsidR="00B000D8" w:rsidRPr="00966BD4" w:rsidRDefault="00B000D8" w:rsidP="00B000D8">
            <w:pPr>
              <w:spacing w:before="0" w:after="0" w:line="240" w:lineRule="auto"/>
              <w:jc w:val="right"/>
              <w:rPr>
                <w:rFonts w:ascii="Arial" w:hAnsi="Arial" w:cs="Arial"/>
                <w:sz w:val="16"/>
                <w:szCs w:val="16"/>
              </w:rPr>
            </w:pPr>
          </w:p>
        </w:tc>
        <w:tc>
          <w:tcPr>
            <w:tcW w:w="495" w:type="pct"/>
            <w:tcBorders>
              <w:top w:val="nil"/>
              <w:left w:val="nil"/>
              <w:bottom w:val="nil"/>
              <w:right w:val="nil"/>
            </w:tcBorders>
            <w:shd w:val="clear" w:color="auto" w:fill="auto"/>
            <w:noWrap/>
            <w:vAlign w:val="center"/>
            <w:hideMark/>
          </w:tcPr>
          <w:p w14:paraId="438FA19D" w14:textId="77777777" w:rsidR="00B000D8" w:rsidRPr="00966BD4" w:rsidRDefault="00B000D8" w:rsidP="00B000D8">
            <w:pPr>
              <w:spacing w:before="0" w:after="0" w:line="240" w:lineRule="auto"/>
              <w:jc w:val="right"/>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7837EE65" w14:textId="77777777" w:rsidR="00B000D8" w:rsidRPr="00966BD4" w:rsidRDefault="00B000D8" w:rsidP="00B000D8">
            <w:pPr>
              <w:spacing w:before="0" w:after="0" w:line="240" w:lineRule="auto"/>
              <w:jc w:val="right"/>
              <w:rPr>
                <w:rFonts w:ascii="Times New Roman" w:hAnsi="Times New Roman"/>
                <w:sz w:val="20"/>
              </w:rPr>
            </w:pPr>
          </w:p>
        </w:tc>
        <w:tc>
          <w:tcPr>
            <w:tcW w:w="51" w:type="pct"/>
            <w:tcBorders>
              <w:top w:val="nil"/>
              <w:left w:val="nil"/>
              <w:bottom w:val="nil"/>
              <w:right w:val="nil"/>
            </w:tcBorders>
            <w:shd w:val="clear" w:color="auto" w:fill="auto"/>
            <w:noWrap/>
            <w:vAlign w:val="center"/>
            <w:hideMark/>
          </w:tcPr>
          <w:p w14:paraId="14C17F7F" w14:textId="77777777" w:rsidR="00B000D8" w:rsidRPr="00966BD4" w:rsidRDefault="00B000D8" w:rsidP="00B000D8">
            <w:pPr>
              <w:spacing w:before="0" w:after="0" w:line="240" w:lineRule="auto"/>
              <w:jc w:val="right"/>
              <w:rPr>
                <w:rFonts w:ascii="Times New Roman" w:hAnsi="Times New Roman"/>
                <w:sz w:val="20"/>
              </w:rPr>
            </w:pPr>
          </w:p>
        </w:tc>
        <w:tc>
          <w:tcPr>
            <w:tcW w:w="495" w:type="pct"/>
            <w:tcBorders>
              <w:top w:val="nil"/>
              <w:left w:val="nil"/>
              <w:bottom w:val="nil"/>
              <w:right w:val="nil"/>
            </w:tcBorders>
            <w:shd w:val="clear" w:color="auto" w:fill="auto"/>
            <w:noWrap/>
            <w:vAlign w:val="center"/>
            <w:hideMark/>
          </w:tcPr>
          <w:p w14:paraId="5E44E6B4" w14:textId="77777777" w:rsidR="00B000D8" w:rsidRPr="00966BD4" w:rsidRDefault="00B000D8" w:rsidP="00B000D8">
            <w:pPr>
              <w:spacing w:before="0" w:after="0" w:line="240" w:lineRule="auto"/>
              <w:jc w:val="right"/>
              <w:rPr>
                <w:rFonts w:ascii="Times New Roman" w:hAnsi="Times New Roman"/>
                <w:sz w:val="20"/>
              </w:rPr>
            </w:pPr>
          </w:p>
        </w:tc>
      </w:tr>
      <w:tr w:rsidR="00B6226B" w:rsidRPr="00966BD4" w14:paraId="68A6EB93" w14:textId="77777777" w:rsidTr="00B000D8">
        <w:trPr>
          <w:divId w:val="1614555134"/>
          <w:trHeight w:hRule="exact" w:val="225"/>
        </w:trPr>
        <w:tc>
          <w:tcPr>
            <w:tcW w:w="1978" w:type="pct"/>
            <w:tcBorders>
              <w:top w:val="nil"/>
              <w:left w:val="nil"/>
              <w:bottom w:val="single" w:sz="4" w:space="0" w:color="293F5B"/>
              <w:right w:val="nil"/>
            </w:tcBorders>
            <w:shd w:val="clear" w:color="auto" w:fill="auto"/>
            <w:vAlign w:val="center"/>
            <w:hideMark/>
          </w:tcPr>
          <w:p w14:paraId="6018EB55" w14:textId="60CF0F5F" w:rsidR="00B000D8" w:rsidRPr="00966BD4" w:rsidRDefault="00B000D8" w:rsidP="00B000D8">
            <w:pPr>
              <w:spacing w:before="0" w:after="0" w:line="240" w:lineRule="auto"/>
              <w:rPr>
                <w:rFonts w:ascii="Arial" w:hAnsi="Arial" w:cs="Arial"/>
                <w:b/>
                <w:bCs/>
                <w:sz w:val="16"/>
                <w:szCs w:val="16"/>
              </w:rPr>
            </w:pPr>
            <w:r w:rsidRPr="00966BD4">
              <w:rPr>
                <w:rFonts w:ascii="Arial" w:hAnsi="Arial" w:cs="Arial"/>
                <w:b/>
                <w:bCs/>
                <w:sz w:val="16"/>
                <w:szCs w:val="16"/>
              </w:rPr>
              <w:t xml:space="preserve">Tax receipts </w:t>
            </w:r>
            <w:proofErr w:type="gramStart"/>
            <w:r w:rsidRPr="00966BD4">
              <w:rPr>
                <w:rFonts w:ascii="Arial" w:hAnsi="Arial" w:cs="Arial"/>
                <w:b/>
                <w:bCs/>
                <w:sz w:val="16"/>
                <w:szCs w:val="16"/>
              </w:rPr>
              <w:t>at</w:t>
            </w:r>
            <w:proofErr w:type="gramEnd"/>
            <w:r w:rsidRPr="00966BD4">
              <w:rPr>
                <w:rFonts w:ascii="Arial" w:hAnsi="Arial" w:cs="Arial"/>
                <w:b/>
                <w:bCs/>
                <w:sz w:val="16"/>
                <w:szCs w:val="16"/>
              </w:rPr>
              <w:t xml:space="preserve"> 2023</w:t>
            </w:r>
            <w:r w:rsidR="001B77CF">
              <w:rPr>
                <w:rFonts w:ascii="Arial" w:hAnsi="Arial" w:cs="Arial"/>
                <w:b/>
                <w:bCs/>
                <w:sz w:val="16"/>
                <w:szCs w:val="16"/>
              </w:rPr>
              <w:noBreakHyphen/>
            </w:r>
            <w:r w:rsidRPr="00966BD4">
              <w:rPr>
                <w:rFonts w:ascii="Arial" w:hAnsi="Arial" w:cs="Arial"/>
                <w:b/>
                <w:bCs/>
                <w:sz w:val="16"/>
                <w:szCs w:val="16"/>
              </w:rPr>
              <w:t>24 Budget</w:t>
            </w:r>
          </w:p>
        </w:tc>
        <w:tc>
          <w:tcPr>
            <w:tcW w:w="495" w:type="pct"/>
            <w:tcBorders>
              <w:top w:val="nil"/>
              <w:left w:val="nil"/>
              <w:bottom w:val="single" w:sz="4" w:space="0" w:color="293F5B"/>
              <w:right w:val="nil"/>
            </w:tcBorders>
            <w:shd w:val="clear" w:color="auto" w:fill="auto"/>
            <w:noWrap/>
            <w:vAlign w:val="center"/>
            <w:hideMark/>
          </w:tcPr>
          <w:p w14:paraId="37091291"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588,050</w:t>
            </w:r>
          </w:p>
        </w:tc>
        <w:tc>
          <w:tcPr>
            <w:tcW w:w="495" w:type="pct"/>
            <w:tcBorders>
              <w:top w:val="nil"/>
              <w:left w:val="nil"/>
              <w:bottom w:val="single" w:sz="4" w:space="0" w:color="293F5B"/>
              <w:right w:val="nil"/>
            </w:tcBorders>
            <w:shd w:val="clear" w:color="000000" w:fill="E6F2FF"/>
            <w:noWrap/>
            <w:vAlign w:val="center"/>
            <w:hideMark/>
          </w:tcPr>
          <w:p w14:paraId="721A13B9"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616,275</w:t>
            </w:r>
          </w:p>
        </w:tc>
        <w:tc>
          <w:tcPr>
            <w:tcW w:w="495" w:type="pct"/>
            <w:tcBorders>
              <w:top w:val="nil"/>
              <w:left w:val="nil"/>
              <w:bottom w:val="single" w:sz="4" w:space="0" w:color="293F5B"/>
              <w:right w:val="nil"/>
            </w:tcBorders>
            <w:shd w:val="clear" w:color="auto" w:fill="auto"/>
            <w:noWrap/>
            <w:vAlign w:val="center"/>
            <w:hideMark/>
          </w:tcPr>
          <w:p w14:paraId="6D73923F"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614,332</w:t>
            </w:r>
          </w:p>
        </w:tc>
        <w:tc>
          <w:tcPr>
            <w:tcW w:w="495" w:type="pct"/>
            <w:tcBorders>
              <w:top w:val="nil"/>
              <w:left w:val="nil"/>
              <w:bottom w:val="single" w:sz="4" w:space="0" w:color="293F5B"/>
              <w:right w:val="nil"/>
            </w:tcBorders>
            <w:shd w:val="clear" w:color="auto" w:fill="auto"/>
            <w:noWrap/>
            <w:vAlign w:val="center"/>
            <w:hideMark/>
          </w:tcPr>
          <w:p w14:paraId="05BE666A"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647,846</w:t>
            </w:r>
          </w:p>
        </w:tc>
        <w:tc>
          <w:tcPr>
            <w:tcW w:w="495" w:type="pct"/>
            <w:tcBorders>
              <w:top w:val="nil"/>
              <w:left w:val="nil"/>
              <w:bottom w:val="single" w:sz="4" w:space="0" w:color="293F5B"/>
              <w:right w:val="nil"/>
            </w:tcBorders>
            <w:shd w:val="clear" w:color="auto" w:fill="auto"/>
            <w:noWrap/>
            <w:vAlign w:val="center"/>
            <w:hideMark/>
          </w:tcPr>
          <w:p w14:paraId="746B96CB"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680,743</w:t>
            </w:r>
          </w:p>
        </w:tc>
        <w:tc>
          <w:tcPr>
            <w:tcW w:w="51" w:type="pct"/>
            <w:tcBorders>
              <w:top w:val="nil"/>
              <w:left w:val="nil"/>
              <w:bottom w:val="single" w:sz="4" w:space="0" w:color="293F5B"/>
              <w:right w:val="nil"/>
            </w:tcBorders>
            <w:shd w:val="clear" w:color="auto" w:fill="auto"/>
            <w:noWrap/>
            <w:vAlign w:val="center"/>
            <w:hideMark/>
          </w:tcPr>
          <w:p w14:paraId="5E84E2FB"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495" w:type="pct"/>
            <w:tcBorders>
              <w:top w:val="nil"/>
              <w:left w:val="nil"/>
              <w:bottom w:val="single" w:sz="4" w:space="0" w:color="293F5B"/>
              <w:right w:val="nil"/>
            </w:tcBorders>
            <w:shd w:val="clear" w:color="auto" w:fill="auto"/>
            <w:noWrap/>
            <w:vAlign w:val="center"/>
            <w:hideMark/>
          </w:tcPr>
          <w:p w14:paraId="2B048D21" w14:textId="77777777" w:rsidR="00B000D8" w:rsidRPr="00966BD4" w:rsidRDefault="00B000D8" w:rsidP="00B000D8">
            <w:pPr>
              <w:spacing w:before="0" w:after="0" w:line="240" w:lineRule="auto"/>
              <w:jc w:val="right"/>
              <w:rPr>
                <w:rFonts w:ascii="Arial" w:hAnsi="Arial" w:cs="Arial"/>
                <w:b/>
                <w:bCs/>
                <w:sz w:val="16"/>
                <w:szCs w:val="16"/>
              </w:rPr>
            </w:pPr>
            <w:r w:rsidRPr="00966BD4">
              <w:rPr>
                <w:rFonts w:ascii="Arial" w:hAnsi="Arial" w:cs="Arial"/>
                <w:b/>
                <w:bCs/>
                <w:sz w:val="16"/>
                <w:szCs w:val="16"/>
              </w:rPr>
              <w:t>3,147,247</w:t>
            </w:r>
          </w:p>
        </w:tc>
      </w:tr>
    </w:tbl>
    <w:p w14:paraId="0FAB19E6" w14:textId="6785D023" w:rsidR="00D907F8" w:rsidRPr="00966BD4" w:rsidRDefault="00822493" w:rsidP="002D7894">
      <w:pPr>
        <w:pStyle w:val="ChartandTableFootnoteAlpha"/>
        <w:numPr>
          <w:ilvl w:val="0"/>
          <w:numId w:val="0"/>
        </w:numPr>
        <w:ind w:left="284" w:hanging="284"/>
        <w:rPr>
          <w:color w:val="auto"/>
        </w:rPr>
      </w:pPr>
      <w:r w:rsidRPr="00966BD4">
        <w:rPr>
          <w:color w:val="auto"/>
        </w:rPr>
        <w:t>*</w:t>
      </w:r>
      <w:r w:rsidR="00BE0CC4" w:rsidRPr="00966BD4">
        <w:rPr>
          <w:color w:val="auto"/>
        </w:rPr>
        <w:t xml:space="preserve"> Data is not available.</w:t>
      </w:r>
    </w:p>
    <w:p w14:paraId="3F811A0C" w14:textId="77777777" w:rsidR="00D907F8" w:rsidRPr="00966BD4" w:rsidRDefault="00D907F8" w:rsidP="00774E24">
      <w:pPr>
        <w:pStyle w:val="TableLine"/>
      </w:pPr>
      <w:permStart w:id="1301379869" w:ed="treasury.gov.au\david.gardiner"/>
      <w:permEnd w:id="1301379869"/>
    </w:p>
    <w:bookmarkEnd w:id="18"/>
    <w:bookmarkEnd w:id="19"/>
    <w:p w14:paraId="56D1114E" w14:textId="0A6CA1D0" w:rsidR="00D907F8" w:rsidRPr="00966BD4" w:rsidRDefault="00D907F8" w:rsidP="00774E24">
      <w:r w:rsidRPr="00966BD4">
        <w:t xml:space="preserve">Since </w:t>
      </w:r>
      <w:r w:rsidR="00546E45" w:rsidRPr="00966BD4">
        <w:t>the October Budget</w:t>
      </w:r>
      <w:r w:rsidRPr="00966BD4">
        <w:t>, parameter and other variations are expected to increase tax receipts by $</w:t>
      </w:r>
      <w:r w:rsidR="003628DE" w:rsidRPr="00966BD4">
        <w:t>40.</w:t>
      </w:r>
      <w:r w:rsidR="004447A9" w:rsidRPr="00966BD4">
        <w:t>7</w:t>
      </w:r>
      <w:r w:rsidRPr="00966BD4">
        <w:t> billion in 202</w:t>
      </w:r>
      <w:r w:rsidR="002747A1" w:rsidRPr="00966BD4">
        <w:t>3</w:t>
      </w:r>
      <w:r w:rsidRPr="00966BD4">
        <w:t>–2</w:t>
      </w:r>
      <w:r w:rsidR="002747A1" w:rsidRPr="00966BD4">
        <w:t>4</w:t>
      </w:r>
      <w:r w:rsidRPr="00966BD4">
        <w:t xml:space="preserve"> and $</w:t>
      </w:r>
      <w:r w:rsidR="003628DE" w:rsidRPr="00966BD4">
        <w:t>115.</w:t>
      </w:r>
      <w:r w:rsidR="005A4875" w:rsidRPr="00966BD4">
        <w:t>7</w:t>
      </w:r>
      <w:r w:rsidRPr="00966BD4">
        <w:t xml:space="preserve"> billion over the </w:t>
      </w:r>
      <w:r w:rsidR="00514841" w:rsidRPr="00966BD4">
        <w:t>5</w:t>
      </w:r>
      <w:r w:rsidRPr="00966BD4">
        <w:t xml:space="preserve"> years </w:t>
      </w:r>
      <w:r w:rsidR="00AF06A4" w:rsidRPr="00966BD4">
        <w:t>from 2022</w:t>
      </w:r>
      <w:r w:rsidR="002A2FC4" w:rsidRPr="00966BD4">
        <w:rPr>
          <w:rFonts w:ascii="Calibri" w:hAnsi="Calibri" w:cs="Calibri"/>
        </w:rPr>
        <w:t>–</w:t>
      </w:r>
      <w:r w:rsidR="00AF06A4" w:rsidRPr="00966BD4">
        <w:t xml:space="preserve">23 </w:t>
      </w:r>
      <w:r w:rsidRPr="00966BD4">
        <w:t xml:space="preserve">to </w:t>
      </w:r>
      <w:r w:rsidR="00D43131" w:rsidRPr="00966BD4">
        <w:br/>
      </w:r>
      <w:r w:rsidRPr="00966BD4">
        <w:t>202</w:t>
      </w:r>
      <w:r w:rsidR="00C73BCE" w:rsidRPr="00966BD4">
        <w:t>6</w:t>
      </w:r>
      <w:r w:rsidR="0054673A" w:rsidRPr="00966BD4">
        <w:rPr>
          <w:rFonts w:ascii="Calibri" w:hAnsi="Calibri" w:cs="Calibri"/>
        </w:rPr>
        <w:t>–</w:t>
      </w:r>
      <w:r w:rsidRPr="00966BD4">
        <w:t>2</w:t>
      </w:r>
      <w:r w:rsidR="00C73BCE" w:rsidRPr="00966BD4">
        <w:t>7</w:t>
      </w:r>
      <w:r w:rsidRPr="00966BD4">
        <w:t xml:space="preserve">. </w:t>
      </w:r>
      <w:r w:rsidR="00D016D3" w:rsidRPr="00966BD4">
        <w:t>Around one fifth of the</w:t>
      </w:r>
      <w:r w:rsidR="00D016D3" w:rsidRPr="00966BD4" w:rsidDel="00EE7758">
        <w:t xml:space="preserve"> </w:t>
      </w:r>
      <w:r w:rsidR="00D016D3" w:rsidRPr="00966BD4">
        <w:t>increase in tax receipts reflects changes to assumptions on the path of</w:t>
      </w:r>
      <w:r w:rsidR="00D016D3" w:rsidRPr="00966BD4" w:rsidDel="00EE7758">
        <w:t xml:space="preserve"> commodity prices </w:t>
      </w:r>
      <w:r w:rsidR="00D016D3" w:rsidRPr="00966BD4">
        <w:t xml:space="preserve">in response to sustained high prices, largely in 2023–24 (see Box 2.4). </w:t>
      </w:r>
      <w:r w:rsidRPr="00966BD4">
        <w:t>Policy decisions increase tax receipts by $</w:t>
      </w:r>
      <w:r w:rsidR="00815B15" w:rsidRPr="00966BD4">
        <w:t>1.3</w:t>
      </w:r>
      <w:r w:rsidRPr="00966BD4">
        <w:t> </w:t>
      </w:r>
      <w:r w:rsidR="00815B15" w:rsidRPr="00966BD4">
        <w:t>b</w:t>
      </w:r>
      <w:r w:rsidRPr="00966BD4">
        <w:t>illion in 202</w:t>
      </w:r>
      <w:r w:rsidR="00C73BCE" w:rsidRPr="00966BD4">
        <w:t>3</w:t>
      </w:r>
      <w:r w:rsidRPr="00966BD4">
        <w:t>–2</w:t>
      </w:r>
      <w:r w:rsidR="00C73BCE" w:rsidRPr="00966BD4">
        <w:t>4</w:t>
      </w:r>
      <w:r w:rsidRPr="00966BD4">
        <w:t xml:space="preserve"> and $</w:t>
      </w:r>
      <w:r w:rsidR="00815B15" w:rsidRPr="00966BD4">
        <w:t>19.</w:t>
      </w:r>
      <w:r w:rsidR="002E5BC9" w:rsidRPr="00966BD4">
        <w:t>1</w:t>
      </w:r>
      <w:r w:rsidRPr="00966BD4">
        <w:t xml:space="preserve"> billion over the </w:t>
      </w:r>
      <w:r w:rsidR="00514841" w:rsidRPr="00966BD4">
        <w:t>5</w:t>
      </w:r>
      <w:r w:rsidRPr="00966BD4">
        <w:t xml:space="preserve"> years </w:t>
      </w:r>
      <w:r w:rsidR="00AF06A4" w:rsidRPr="00966BD4">
        <w:t>from 2022</w:t>
      </w:r>
      <w:r w:rsidR="002A2FC4" w:rsidRPr="00966BD4">
        <w:rPr>
          <w:rFonts w:ascii="Calibri" w:hAnsi="Calibri" w:cs="Calibri"/>
        </w:rPr>
        <w:t>–</w:t>
      </w:r>
      <w:r w:rsidR="00AF06A4" w:rsidRPr="00966BD4">
        <w:t xml:space="preserve">23 </w:t>
      </w:r>
      <w:r w:rsidRPr="00966BD4">
        <w:t>to 202</w:t>
      </w:r>
      <w:r w:rsidR="00C73BCE" w:rsidRPr="00966BD4">
        <w:t>6</w:t>
      </w:r>
      <w:r w:rsidRPr="00966BD4">
        <w:t>–2</w:t>
      </w:r>
      <w:r w:rsidR="00C73BCE" w:rsidRPr="00966BD4">
        <w:t>7</w:t>
      </w:r>
      <w:r w:rsidRPr="00966BD4">
        <w:t xml:space="preserve"> compared with </w:t>
      </w:r>
      <w:r w:rsidR="00C73BCE" w:rsidRPr="00966BD4">
        <w:t xml:space="preserve">the October </w:t>
      </w:r>
      <w:r w:rsidR="00241805" w:rsidRPr="00966BD4">
        <w:t>Budget</w:t>
      </w:r>
      <w:r w:rsidRPr="00966BD4">
        <w:t xml:space="preserve">. </w:t>
      </w:r>
    </w:p>
    <w:tbl>
      <w:tblPr>
        <w:tblW w:w="5000" w:type="pct"/>
        <w:tblLayout w:type="fixed"/>
        <w:tblLook w:val="0000" w:firstRow="0" w:lastRow="0" w:firstColumn="0" w:lastColumn="0" w:noHBand="0" w:noVBand="0"/>
      </w:tblPr>
      <w:tblGrid>
        <w:gridCol w:w="3828"/>
        <w:gridCol w:w="3827"/>
        <w:gridCol w:w="55"/>
      </w:tblGrid>
      <w:tr w:rsidR="00495D85" w:rsidRPr="00F06AE2" w14:paraId="09C6B9F2" w14:textId="77777777" w:rsidTr="00316748">
        <w:trPr>
          <w:gridAfter w:val="1"/>
          <w:wAfter w:w="55" w:type="dxa"/>
          <w:cantSplit/>
          <w:trHeight w:val="885"/>
        </w:trPr>
        <w:tc>
          <w:tcPr>
            <w:tcW w:w="3828" w:type="dxa"/>
            <w:shd w:val="clear" w:color="auto" w:fill="auto"/>
          </w:tcPr>
          <w:p w14:paraId="2D91BA19" w14:textId="3CCEDF81" w:rsidR="00D907F8" w:rsidRPr="00F06AE2" w:rsidRDefault="00D907F8" w:rsidP="00316748">
            <w:pPr>
              <w:pStyle w:val="ChartHeading"/>
              <w:rPr>
                <w:highlight w:val="darkYellow"/>
              </w:rPr>
            </w:pPr>
            <w:bookmarkStart w:id="20" w:name="_Toc481069566"/>
            <w:r w:rsidRPr="00966BD4">
              <w:lastRenderedPageBreak/>
              <w:t>Chart 5.</w:t>
            </w:r>
            <w:r w:rsidR="00146E04" w:rsidRPr="00966BD4">
              <w:t>2</w:t>
            </w:r>
            <w:r w:rsidRPr="00966BD4">
              <w:t xml:space="preserve">: Revisions to total tax receipts since </w:t>
            </w:r>
            <w:r w:rsidR="00EB1AC6" w:rsidRPr="00966BD4">
              <w:t>October Budget</w:t>
            </w:r>
          </w:p>
        </w:tc>
        <w:tc>
          <w:tcPr>
            <w:tcW w:w="3827" w:type="dxa"/>
            <w:shd w:val="clear" w:color="auto" w:fill="auto"/>
          </w:tcPr>
          <w:p w14:paraId="4A9D25FA" w14:textId="04813D2D" w:rsidR="00D907F8" w:rsidRPr="00966BD4" w:rsidRDefault="00D907F8" w:rsidP="006E2BE9">
            <w:pPr>
              <w:pStyle w:val="ChartHeading"/>
              <w:spacing w:after="0"/>
            </w:pPr>
            <w:r w:rsidRPr="00966BD4">
              <w:t>Chart 5.</w:t>
            </w:r>
            <w:r w:rsidR="00146E04" w:rsidRPr="00966BD4">
              <w:t>3</w:t>
            </w:r>
            <w:r w:rsidRPr="00966BD4">
              <w:t xml:space="preserve">: Parameter and other variations to total tax receipts since </w:t>
            </w:r>
            <w:r w:rsidR="00463B13" w:rsidRPr="00966BD4">
              <w:t>October Budget</w:t>
            </w:r>
          </w:p>
        </w:tc>
      </w:tr>
      <w:tr w:rsidR="00495D85" w:rsidRPr="00F06AE2" w14:paraId="04F1C705" w14:textId="77777777" w:rsidTr="00316748">
        <w:trPr>
          <w:gridAfter w:val="1"/>
          <w:wAfter w:w="55" w:type="dxa"/>
          <w:cantSplit/>
          <w:trHeight w:val="567"/>
        </w:trPr>
        <w:tc>
          <w:tcPr>
            <w:tcW w:w="3828" w:type="dxa"/>
            <w:shd w:val="clear" w:color="auto" w:fill="auto"/>
          </w:tcPr>
          <w:p w14:paraId="27D82F64" w14:textId="2221033C" w:rsidR="00D907F8" w:rsidRPr="00F06AE2" w:rsidRDefault="00F14BE1" w:rsidP="00316748">
            <w:pPr>
              <w:pStyle w:val="ChartGraphic"/>
              <w:rPr>
                <w:highlight w:val="darkYellow"/>
              </w:rPr>
            </w:pPr>
            <w:r>
              <w:pict w14:anchorId="5BE959A5">
                <v:shape id="_x0000_i1026" type="#_x0000_t75" alt="P564C3T4#yIS1" style="width:179.55pt;height:179.55pt">
                  <v:imagedata r:id="rId19" o:title=""/>
                </v:shape>
              </w:pict>
            </w:r>
          </w:p>
        </w:tc>
        <w:tc>
          <w:tcPr>
            <w:tcW w:w="3827" w:type="dxa"/>
            <w:shd w:val="clear" w:color="auto" w:fill="auto"/>
          </w:tcPr>
          <w:p w14:paraId="2B9EC4D4" w14:textId="43388AF1" w:rsidR="00D907F8" w:rsidRPr="00966BD4" w:rsidRDefault="00F14BE1" w:rsidP="00833AC5">
            <w:pPr>
              <w:pStyle w:val="ChartGraphic"/>
            </w:pPr>
            <w:r>
              <w:pict w14:anchorId="204647AD">
                <v:shape id="_x0000_i1027" type="#_x0000_t75" alt="The chart shows the composition of the parameter and other variations since October Budget. Across the forward estimates company and individuals tax is responsible for most of the large upwards revision. In 2023-24, company tax is revised up $29.3 billion and individuals tax is revised up $15.4 billion. The largest total overall variation is in 2023-24 at $40.7 billion, followed by 2022-23, 2024-25, 2026-27 and 2025-26. " style="width:179.55pt;height:194.5pt">
                  <v:imagedata r:id="rId20" o:title=""/>
                </v:shape>
              </w:pict>
            </w:r>
          </w:p>
        </w:tc>
      </w:tr>
      <w:tr w:rsidR="00D907F8" w:rsidRPr="00F06AE2" w14:paraId="6108F1D7" w14:textId="77777777" w:rsidTr="00B34A58">
        <w:trPr>
          <w:cantSplit/>
          <w:trHeight w:val="57"/>
        </w:trPr>
        <w:tc>
          <w:tcPr>
            <w:tcW w:w="3828" w:type="dxa"/>
            <w:shd w:val="clear" w:color="auto" w:fill="auto"/>
          </w:tcPr>
          <w:p w14:paraId="4A6CC1AA" w14:textId="67CF2FE0" w:rsidR="00D907F8" w:rsidRPr="00F06AE2" w:rsidRDefault="00D907F8" w:rsidP="00286CB1">
            <w:pPr>
              <w:pStyle w:val="ChartandTableFootnote"/>
              <w:rPr>
                <w:color w:val="auto"/>
                <w:highlight w:val="darkYellow"/>
              </w:rPr>
            </w:pPr>
            <w:r w:rsidRPr="00966BD4">
              <w:rPr>
                <w:color w:val="auto"/>
              </w:rPr>
              <w:t xml:space="preserve">Source:  </w:t>
            </w:r>
            <w:r w:rsidRPr="00966BD4">
              <w:rPr>
                <w:color w:val="auto"/>
              </w:rPr>
              <w:tab/>
              <w:t>Treasury</w:t>
            </w:r>
          </w:p>
        </w:tc>
        <w:tc>
          <w:tcPr>
            <w:tcW w:w="3882" w:type="dxa"/>
            <w:gridSpan w:val="2"/>
            <w:shd w:val="clear" w:color="auto" w:fill="auto"/>
          </w:tcPr>
          <w:p w14:paraId="494E6F19" w14:textId="2A33730B" w:rsidR="00D907F8" w:rsidRPr="00966BD4" w:rsidRDefault="00D907F8" w:rsidP="00286CB1">
            <w:pPr>
              <w:pStyle w:val="ChartandTableFootnote"/>
              <w:rPr>
                <w:color w:val="auto"/>
              </w:rPr>
            </w:pPr>
            <w:r w:rsidRPr="00966BD4">
              <w:rPr>
                <w:color w:val="auto"/>
              </w:rPr>
              <w:t xml:space="preserve">Source:  </w:t>
            </w:r>
            <w:r w:rsidRPr="00966BD4">
              <w:rPr>
                <w:color w:val="auto"/>
              </w:rPr>
              <w:tab/>
              <w:t>Treasury</w:t>
            </w:r>
          </w:p>
        </w:tc>
      </w:tr>
      <w:bookmarkEnd w:id="20"/>
    </w:tbl>
    <w:p w14:paraId="2F32A431" w14:textId="5ECE2345" w:rsidR="00D907F8" w:rsidRPr="00966BD4" w:rsidRDefault="00D907F8" w:rsidP="006E2BE9">
      <w:pPr>
        <w:pStyle w:val="ChartLine"/>
        <w:pBdr>
          <w:bottom w:val="single" w:sz="4" w:space="0" w:color="626A77" w:themeColor="background2" w:themeShade="E6"/>
        </w:pBdr>
      </w:pPr>
    </w:p>
    <w:p w14:paraId="44D1B288" w14:textId="41BBC145" w:rsidR="00D907F8" w:rsidRPr="00966BD4" w:rsidRDefault="00D907F8" w:rsidP="00774E24">
      <w:r w:rsidRPr="00966BD4">
        <w:t>These upgrades reflect</w:t>
      </w:r>
      <w:r w:rsidR="008C72B1" w:rsidRPr="00966BD4">
        <w:t xml:space="preserve"> </w:t>
      </w:r>
      <w:r w:rsidR="00894791" w:rsidRPr="00966BD4">
        <w:t>the improved outlook for the nominal economy flowing through</w:t>
      </w:r>
      <w:r w:rsidR="00DB5E8F" w:rsidRPr="00966BD4">
        <w:t xml:space="preserve"> </w:t>
      </w:r>
      <w:r w:rsidR="005B0C15" w:rsidRPr="00966BD4">
        <w:t>wages and profits</w:t>
      </w:r>
      <w:r w:rsidR="008D0255" w:rsidRPr="00966BD4">
        <w:t>,</w:t>
      </w:r>
      <w:r w:rsidR="005B0C15" w:rsidRPr="00966BD4">
        <w:t xml:space="preserve"> supporting personal income tax and company tax. </w:t>
      </w:r>
      <w:r w:rsidRPr="00966BD4">
        <w:t>Growth in the key economic parameters that influence tax receipts is shown in Table 5.4.</w:t>
      </w:r>
    </w:p>
    <w:p w14:paraId="47B9AE19" w14:textId="23A7E2BD" w:rsidR="00D02ABF" w:rsidRPr="00966BD4" w:rsidRDefault="004241CD" w:rsidP="00F67E70">
      <w:pPr>
        <w:pStyle w:val="TableHeading"/>
        <w:rPr>
          <w:rFonts w:asciiTheme="minorHAnsi" w:eastAsiaTheme="minorHAnsi" w:hAnsiTheme="minorHAnsi" w:cstheme="minorBidi"/>
          <w:sz w:val="22"/>
          <w:szCs w:val="22"/>
          <w:lang w:eastAsia="en-US"/>
        </w:rPr>
      </w:pPr>
      <w:r w:rsidRPr="00966BD4">
        <w:t>Table 5.4: Key economic parameters for tax receipts</w:t>
      </w:r>
      <w:r w:rsidRPr="00966BD4">
        <w:rPr>
          <w:vertAlign w:val="superscript"/>
        </w:rPr>
        <w:t>(a)</w:t>
      </w:r>
    </w:p>
    <w:tbl>
      <w:tblPr>
        <w:tblW w:w="5000" w:type="pct"/>
        <w:tblCellMar>
          <w:left w:w="0" w:type="dxa"/>
          <w:right w:w="28" w:type="dxa"/>
        </w:tblCellMar>
        <w:tblLook w:val="04A0" w:firstRow="1" w:lastRow="0" w:firstColumn="1" w:lastColumn="0" w:noHBand="0" w:noVBand="1"/>
      </w:tblPr>
      <w:tblGrid>
        <w:gridCol w:w="3245"/>
        <w:gridCol w:w="760"/>
        <w:gridCol w:w="123"/>
        <w:gridCol w:w="715"/>
        <w:gridCol w:w="715"/>
        <w:gridCol w:w="715"/>
        <w:gridCol w:w="715"/>
        <w:gridCol w:w="722"/>
      </w:tblGrid>
      <w:tr w:rsidR="00495D85" w:rsidRPr="00F06AE2" w14:paraId="38753560" w14:textId="77777777" w:rsidTr="005534ED">
        <w:trPr>
          <w:trHeight w:hRule="exact" w:val="235"/>
        </w:trPr>
        <w:tc>
          <w:tcPr>
            <w:tcW w:w="2104" w:type="pct"/>
            <w:tcBorders>
              <w:top w:val="single" w:sz="4" w:space="0" w:color="auto"/>
              <w:left w:val="nil"/>
              <w:bottom w:val="nil"/>
              <w:right w:val="nil"/>
            </w:tcBorders>
            <w:shd w:val="clear" w:color="000000" w:fill="FFFFFF"/>
            <w:noWrap/>
            <w:vAlign w:val="bottom"/>
            <w:hideMark/>
          </w:tcPr>
          <w:p w14:paraId="7A1398AB" w14:textId="4C893B6D" w:rsidR="00D02ABF" w:rsidRPr="00F06AE2" w:rsidRDefault="00D02ABF" w:rsidP="00774E24">
            <w:pPr>
              <w:pStyle w:val="TableTextLeft"/>
              <w:rPr>
                <w:highlight w:val="darkGray"/>
              </w:rPr>
            </w:pPr>
            <w:r w:rsidRPr="00966BD4">
              <w:t> </w:t>
            </w:r>
          </w:p>
        </w:tc>
        <w:tc>
          <w:tcPr>
            <w:tcW w:w="492" w:type="pct"/>
            <w:tcBorders>
              <w:top w:val="single" w:sz="4" w:space="0" w:color="auto"/>
              <w:left w:val="nil"/>
              <w:bottom w:val="single" w:sz="4" w:space="0" w:color="auto"/>
              <w:right w:val="nil"/>
            </w:tcBorders>
            <w:shd w:val="clear" w:color="000000" w:fill="FFFFFF"/>
            <w:noWrap/>
            <w:vAlign w:val="center"/>
            <w:hideMark/>
          </w:tcPr>
          <w:p w14:paraId="5CD4CE0F" w14:textId="77777777" w:rsidR="00D02ABF" w:rsidRPr="00F06AE2" w:rsidRDefault="00D02ABF" w:rsidP="00774E24">
            <w:pPr>
              <w:pStyle w:val="TableTextRight"/>
              <w:rPr>
                <w:b/>
                <w:highlight w:val="darkGray"/>
              </w:rPr>
            </w:pPr>
            <w:r w:rsidRPr="00966BD4">
              <w:t>Outcomes</w:t>
            </w:r>
          </w:p>
        </w:tc>
        <w:tc>
          <w:tcPr>
            <w:tcW w:w="80" w:type="pct"/>
            <w:tcBorders>
              <w:top w:val="single" w:sz="4" w:space="0" w:color="auto"/>
              <w:left w:val="nil"/>
              <w:bottom w:val="nil"/>
              <w:right w:val="nil"/>
            </w:tcBorders>
            <w:shd w:val="clear" w:color="000000" w:fill="FFFFFF"/>
            <w:noWrap/>
            <w:vAlign w:val="center"/>
            <w:hideMark/>
          </w:tcPr>
          <w:p w14:paraId="6AF1EBB0" w14:textId="1AA07C69" w:rsidR="00D02ABF" w:rsidRPr="00F06AE2" w:rsidRDefault="007D1CF1" w:rsidP="008B284D">
            <w:pPr>
              <w:pStyle w:val="Heading4"/>
              <w:rPr>
                <w:rFonts w:ascii="Arial" w:hAnsi="Arial" w:cs="Arial"/>
                <w:b w:val="0"/>
                <w:sz w:val="16"/>
                <w:szCs w:val="16"/>
                <w:highlight w:val="darkGray"/>
              </w:rPr>
            </w:pPr>
            <w:r w:rsidRPr="00966BD4">
              <w:rPr>
                <w:rFonts w:ascii="ZWAdobeF" w:hAnsi="ZWAdobeF" w:cs="ZWAdobeF"/>
                <w:b w:val="0"/>
                <w:sz w:val="2"/>
                <w:szCs w:val="2"/>
              </w:rPr>
              <w:t>0B</w:t>
            </w:r>
            <w:r w:rsidR="00D02ABF" w:rsidRPr="00966BD4">
              <w:rPr>
                <w:rFonts w:ascii="Arial" w:hAnsi="Arial" w:cs="Arial"/>
                <w:b w:val="0"/>
                <w:sz w:val="16"/>
                <w:szCs w:val="16"/>
              </w:rPr>
              <w:t> </w:t>
            </w:r>
          </w:p>
        </w:tc>
        <w:tc>
          <w:tcPr>
            <w:tcW w:w="2324" w:type="pct"/>
            <w:gridSpan w:val="5"/>
            <w:tcBorders>
              <w:top w:val="single" w:sz="4" w:space="0" w:color="auto"/>
              <w:left w:val="nil"/>
              <w:bottom w:val="nil"/>
              <w:right w:val="nil"/>
            </w:tcBorders>
            <w:shd w:val="clear" w:color="000000" w:fill="FFFFFF"/>
            <w:noWrap/>
            <w:vAlign w:val="center"/>
            <w:hideMark/>
          </w:tcPr>
          <w:p w14:paraId="5DEBC1C3" w14:textId="77777777" w:rsidR="00D02ABF" w:rsidRPr="00966BD4" w:rsidRDefault="00D02ABF" w:rsidP="00774E24">
            <w:pPr>
              <w:pStyle w:val="TableTextCentred"/>
              <w:rPr>
                <w:b/>
              </w:rPr>
            </w:pPr>
            <w:r w:rsidRPr="00966BD4">
              <w:t>Forecasts</w:t>
            </w:r>
          </w:p>
        </w:tc>
      </w:tr>
      <w:tr w:rsidR="00495D85" w:rsidRPr="00F06AE2" w14:paraId="0FCDC858"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038D6E0F" w14:textId="77777777" w:rsidR="00D02ABF" w:rsidRPr="00F06AE2" w:rsidRDefault="00D02ABF" w:rsidP="00774E24">
            <w:pPr>
              <w:pStyle w:val="TableTextLeft"/>
              <w:rPr>
                <w:highlight w:val="darkGray"/>
              </w:rPr>
            </w:pPr>
            <w:r w:rsidRPr="00966BD4">
              <w:t> </w:t>
            </w:r>
          </w:p>
        </w:tc>
        <w:tc>
          <w:tcPr>
            <w:tcW w:w="492" w:type="pct"/>
            <w:tcBorders>
              <w:top w:val="nil"/>
              <w:left w:val="nil"/>
              <w:bottom w:val="single" w:sz="4" w:space="0" w:color="auto"/>
              <w:right w:val="nil"/>
            </w:tcBorders>
            <w:shd w:val="clear" w:color="000000" w:fill="FFFFFF"/>
            <w:noWrap/>
            <w:vAlign w:val="bottom"/>
            <w:hideMark/>
          </w:tcPr>
          <w:p w14:paraId="63C3E22E" w14:textId="2F7B043F" w:rsidR="00D02ABF" w:rsidRPr="00F06AE2" w:rsidRDefault="00D02ABF" w:rsidP="00774E24">
            <w:pPr>
              <w:pStyle w:val="TableTextRight"/>
              <w:rPr>
                <w:b/>
                <w:highlight w:val="darkGray"/>
              </w:rPr>
            </w:pPr>
            <w:r w:rsidRPr="00966BD4">
              <w:t>2021</w:t>
            </w:r>
            <w:r w:rsidR="00D71E98" w:rsidRPr="00966BD4">
              <w:t>–</w:t>
            </w:r>
            <w:r w:rsidRPr="00966BD4">
              <w:t>22</w:t>
            </w:r>
          </w:p>
        </w:tc>
        <w:tc>
          <w:tcPr>
            <w:tcW w:w="80" w:type="pct"/>
            <w:tcBorders>
              <w:top w:val="single" w:sz="4" w:space="0" w:color="auto"/>
              <w:left w:val="nil"/>
              <w:bottom w:val="nil"/>
              <w:right w:val="nil"/>
            </w:tcBorders>
            <w:shd w:val="clear" w:color="000000" w:fill="FFFFFF"/>
            <w:noWrap/>
            <w:vAlign w:val="center"/>
            <w:hideMark/>
          </w:tcPr>
          <w:p w14:paraId="6CC8E968" w14:textId="77777777" w:rsidR="00D02ABF" w:rsidRPr="00F06AE2" w:rsidRDefault="00D02ABF" w:rsidP="00774E24">
            <w:pPr>
              <w:pStyle w:val="TableTextRight"/>
              <w:rPr>
                <w:highlight w:val="darkGray"/>
              </w:rPr>
            </w:pPr>
            <w:r w:rsidRPr="00966BD4">
              <w:t> </w:t>
            </w:r>
          </w:p>
        </w:tc>
        <w:tc>
          <w:tcPr>
            <w:tcW w:w="464" w:type="pct"/>
            <w:tcBorders>
              <w:top w:val="single" w:sz="4" w:space="0" w:color="auto"/>
              <w:left w:val="nil"/>
              <w:bottom w:val="single" w:sz="4" w:space="0" w:color="auto"/>
              <w:right w:val="nil"/>
            </w:tcBorders>
            <w:shd w:val="clear" w:color="000000" w:fill="E6F2FF"/>
            <w:noWrap/>
            <w:vAlign w:val="bottom"/>
            <w:hideMark/>
          </w:tcPr>
          <w:p w14:paraId="72AF2DCB" w14:textId="566E9B40" w:rsidR="00D02ABF" w:rsidRPr="00F06AE2" w:rsidRDefault="00D02ABF" w:rsidP="00774E24">
            <w:pPr>
              <w:pStyle w:val="TableTextRight"/>
              <w:rPr>
                <w:b/>
                <w:highlight w:val="darkGray"/>
              </w:rPr>
            </w:pPr>
            <w:r w:rsidRPr="00966BD4">
              <w:t>2022</w:t>
            </w:r>
            <w:r w:rsidR="00D71E98" w:rsidRPr="00966BD4">
              <w:t>–</w:t>
            </w:r>
            <w:r w:rsidRPr="00966BD4">
              <w:t>23</w:t>
            </w:r>
          </w:p>
        </w:tc>
        <w:tc>
          <w:tcPr>
            <w:tcW w:w="464" w:type="pct"/>
            <w:tcBorders>
              <w:top w:val="single" w:sz="4" w:space="0" w:color="auto"/>
              <w:left w:val="nil"/>
              <w:bottom w:val="single" w:sz="4" w:space="0" w:color="auto"/>
              <w:right w:val="nil"/>
            </w:tcBorders>
            <w:shd w:val="clear" w:color="000000" w:fill="E6F2FF"/>
            <w:noWrap/>
            <w:vAlign w:val="bottom"/>
            <w:hideMark/>
          </w:tcPr>
          <w:p w14:paraId="457CBE0E" w14:textId="73188EF2" w:rsidR="00D02ABF" w:rsidRPr="00F06AE2" w:rsidRDefault="00D02ABF" w:rsidP="00774E24">
            <w:pPr>
              <w:pStyle w:val="TableTextRight"/>
              <w:rPr>
                <w:b/>
                <w:highlight w:val="darkGray"/>
              </w:rPr>
            </w:pPr>
            <w:r w:rsidRPr="00966BD4">
              <w:t>2023</w:t>
            </w:r>
            <w:r w:rsidR="00D71E98" w:rsidRPr="00966BD4">
              <w:t>–</w:t>
            </w:r>
            <w:r w:rsidRPr="00966BD4">
              <w:t>24</w:t>
            </w:r>
          </w:p>
        </w:tc>
        <w:tc>
          <w:tcPr>
            <w:tcW w:w="464" w:type="pct"/>
            <w:tcBorders>
              <w:top w:val="single" w:sz="4" w:space="0" w:color="auto"/>
              <w:left w:val="nil"/>
              <w:bottom w:val="single" w:sz="4" w:space="0" w:color="auto"/>
              <w:right w:val="nil"/>
            </w:tcBorders>
            <w:shd w:val="clear" w:color="000000" w:fill="E6F2FF"/>
            <w:noWrap/>
            <w:vAlign w:val="bottom"/>
            <w:hideMark/>
          </w:tcPr>
          <w:p w14:paraId="5D93FBEC" w14:textId="3A2FE50C" w:rsidR="00D02ABF" w:rsidRPr="00F06AE2" w:rsidRDefault="00D02ABF" w:rsidP="00774E24">
            <w:pPr>
              <w:pStyle w:val="TableTextRight"/>
              <w:rPr>
                <w:b/>
                <w:highlight w:val="darkGray"/>
              </w:rPr>
            </w:pPr>
            <w:r w:rsidRPr="00966BD4">
              <w:t>2024</w:t>
            </w:r>
            <w:r w:rsidR="00D71E98" w:rsidRPr="00966BD4">
              <w:t>–</w:t>
            </w:r>
            <w:r w:rsidRPr="00966BD4">
              <w:t>25</w:t>
            </w:r>
          </w:p>
        </w:tc>
        <w:tc>
          <w:tcPr>
            <w:tcW w:w="464" w:type="pct"/>
            <w:tcBorders>
              <w:top w:val="single" w:sz="4" w:space="0" w:color="auto"/>
              <w:left w:val="nil"/>
              <w:bottom w:val="single" w:sz="4" w:space="0" w:color="auto"/>
              <w:right w:val="nil"/>
            </w:tcBorders>
            <w:shd w:val="clear" w:color="000000" w:fill="E6F2FF"/>
            <w:noWrap/>
            <w:vAlign w:val="bottom"/>
            <w:hideMark/>
          </w:tcPr>
          <w:p w14:paraId="1134689A" w14:textId="013E0225" w:rsidR="00D02ABF" w:rsidRPr="00F06AE2" w:rsidRDefault="00D02ABF" w:rsidP="00774E24">
            <w:pPr>
              <w:pStyle w:val="TableTextRight"/>
              <w:rPr>
                <w:b/>
                <w:highlight w:val="darkGray"/>
              </w:rPr>
            </w:pPr>
            <w:r w:rsidRPr="00966BD4">
              <w:t>2025</w:t>
            </w:r>
            <w:r w:rsidR="00D71E98" w:rsidRPr="00966BD4">
              <w:t>–</w:t>
            </w:r>
            <w:r w:rsidRPr="00966BD4">
              <w:t>26</w:t>
            </w:r>
          </w:p>
        </w:tc>
        <w:tc>
          <w:tcPr>
            <w:tcW w:w="467" w:type="pct"/>
            <w:tcBorders>
              <w:top w:val="single" w:sz="4" w:space="0" w:color="auto"/>
              <w:left w:val="nil"/>
              <w:bottom w:val="single" w:sz="4" w:space="0" w:color="auto"/>
              <w:right w:val="nil"/>
            </w:tcBorders>
            <w:shd w:val="clear" w:color="000000" w:fill="E6F2FF"/>
            <w:noWrap/>
            <w:vAlign w:val="bottom"/>
            <w:hideMark/>
          </w:tcPr>
          <w:p w14:paraId="229D8396" w14:textId="65873D08" w:rsidR="00D02ABF" w:rsidRPr="00966BD4" w:rsidRDefault="00D02ABF" w:rsidP="00774E24">
            <w:pPr>
              <w:pStyle w:val="TableTextRight"/>
              <w:rPr>
                <w:b/>
              </w:rPr>
            </w:pPr>
            <w:r w:rsidRPr="00966BD4">
              <w:t>2026</w:t>
            </w:r>
            <w:r w:rsidR="00D71E98" w:rsidRPr="00966BD4">
              <w:t>–</w:t>
            </w:r>
            <w:r w:rsidRPr="00966BD4">
              <w:t>27</w:t>
            </w:r>
          </w:p>
        </w:tc>
      </w:tr>
      <w:tr w:rsidR="00495D85" w:rsidRPr="00F06AE2" w14:paraId="48D89309" w14:textId="77777777" w:rsidTr="005534ED">
        <w:trPr>
          <w:trHeight w:hRule="exact" w:val="70"/>
        </w:trPr>
        <w:tc>
          <w:tcPr>
            <w:tcW w:w="2104" w:type="pct"/>
            <w:tcBorders>
              <w:top w:val="nil"/>
              <w:left w:val="nil"/>
              <w:bottom w:val="nil"/>
              <w:right w:val="nil"/>
            </w:tcBorders>
            <w:shd w:val="clear" w:color="000000" w:fill="FFFFFF"/>
            <w:noWrap/>
            <w:vAlign w:val="center"/>
            <w:hideMark/>
          </w:tcPr>
          <w:p w14:paraId="648B89F2"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5837E8AC" w14:textId="77777777" w:rsidR="00D02ABF" w:rsidRPr="00F06AE2" w:rsidRDefault="00D02ABF" w:rsidP="00774E24">
            <w:pPr>
              <w:pStyle w:val="TableTextRight"/>
              <w:rPr>
                <w:highlight w:val="darkGray"/>
              </w:rPr>
            </w:pPr>
            <w:r w:rsidRPr="00966BD4">
              <w:t> </w:t>
            </w:r>
          </w:p>
        </w:tc>
        <w:tc>
          <w:tcPr>
            <w:tcW w:w="80" w:type="pct"/>
            <w:tcBorders>
              <w:top w:val="single" w:sz="4" w:space="0" w:color="auto"/>
              <w:left w:val="nil"/>
              <w:bottom w:val="nil"/>
              <w:right w:val="nil"/>
            </w:tcBorders>
            <w:shd w:val="clear" w:color="000000" w:fill="FFFFFF"/>
            <w:noWrap/>
            <w:vAlign w:val="center"/>
            <w:hideMark/>
          </w:tcPr>
          <w:p w14:paraId="73E5ED91"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6D7C0C5"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2E0B3164"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E728B69"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0B5B434B"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4731495F" w14:textId="77777777" w:rsidR="00D02ABF" w:rsidRPr="00966BD4" w:rsidRDefault="00D02ABF" w:rsidP="00774E24">
            <w:pPr>
              <w:pStyle w:val="TableTextRight"/>
            </w:pPr>
            <w:r w:rsidRPr="00966BD4">
              <w:t> </w:t>
            </w:r>
          </w:p>
        </w:tc>
      </w:tr>
      <w:tr w:rsidR="00495D85" w:rsidRPr="00F06AE2" w14:paraId="66BCCAA1"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378D8BB9" w14:textId="77777777" w:rsidR="00D02ABF" w:rsidRPr="00F06AE2" w:rsidRDefault="00D02ABF" w:rsidP="00774E24">
            <w:pPr>
              <w:pStyle w:val="TableTextLeft"/>
              <w:rPr>
                <w:highlight w:val="darkGray"/>
              </w:rPr>
            </w:pPr>
            <w:r w:rsidRPr="00966BD4">
              <w:t xml:space="preserve">Revenue parameters </w:t>
            </w:r>
          </w:p>
        </w:tc>
        <w:tc>
          <w:tcPr>
            <w:tcW w:w="492" w:type="pct"/>
            <w:tcBorders>
              <w:top w:val="nil"/>
              <w:left w:val="nil"/>
              <w:bottom w:val="nil"/>
              <w:right w:val="nil"/>
            </w:tcBorders>
            <w:shd w:val="clear" w:color="000000" w:fill="FFFFFF"/>
            <w:noWrap/>
            <w:vAlign w:val="center"/>
            <w:hideMark/>
          </w:tcPr>
          <w:p w14:paraId="4C360EAD"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50DDCDDA"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682EF737"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6CCEDCB5"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6F602E4"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6D9B77A"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59608435" w14:textId="77777777" w:rsidR="00D02ABF" w:rsidRPr="00966BD4" w:rsidRDefault="00D02ABF" w:rsidP="00774E24">
            <w:pPr>
              <w:pStyle w:val="TableTextRight"/>
            </w:pPr>
            <w:r w:rsidRPr="00966BD4">
              <w:t> </w:t>
            </w:r>
          </w:p>
        </w:tc>
      </w:tr>
      <w:tr w:rsidR="00495D85" w:rsidRPr="00F06AE2" w14:paraId="5713A4C3" w14:textId="77777777" w:rsidTr="005534ED">
        <w:trPr>
          <w:trHeight w:hRule="exact" w:val="225"/>
        </w:trPr>
        <w:tc>
          <w:tcPr>
            <w:tcW w:w="2104" w:type="pct"/>
            <w:tcBorders>
              <w:top w:val="nil"/>
              <w:left w:val="nil"/>
              <w:bottom w:val="nil"/>
              <w:right w:val="nil"/>
            </w:tcBorders>
            <w:shd w:val="clear" w:color="000000" w:fill="FFFFFF"/>
            <w:noWrap/>
            <w:vAlign w:val="center"/>
            <w:hideMark/>
          </w:tcPr>
          <w:p w14:paraId="73B67979" w14:textId="77777777" w:rsidR="00D02ABF" w:rsidRPr="00F06AE2" w:rsidRDefault="00D02ABF" w:rsidP="00774E24">
            <w:pPr>
              <w:pStyle w:val="TableTextLeft"/>
              <w:rPr>
                <w:b/>
                <w:highlight w:val="darkGray"/>
              </w:rPr>
            </w:pPr>
            <w:r w:rsidRPr="00966BD4">
              <w:t>Nominal gross domestic product</w:t>
            </w:r>
          </w:p>
        </w:tc>
        <w:tc>
          <w:tcPr>
            <w:tcW w:w="492" w:type="pct"/>
            <w:tcBorders>
              <w:top w:val="nil"/>
              <w:left w:val="nil"/>
              <w:bottom w:val="nil"/>
              <w:right w:val="nil"/>
            </w:tcBorders>
            <w:shd w:val="clear" w:color="000000" w:fill="FFFFFF"/>
            <w:noWrap/>
            <w:vAlign w:val="center"/>
            <w:hideMark/>
          </w:tcPr>
          <w:p w14:paraId="3A5F01E1" w14:textId="77777777" w:rsidR="00D02ABF" w:rsidRPr="00F06AE2" w:rsidRDefault="00D02ABF" w:rsidP="00774E24">
            <w:pPr>
              <w:pStyle w:val="TableTextRight"/>
              <w:rPr>
                <w:b/>
                <w:highlight w:val="darkGray"/>
              </w:rPr>
            </w:pPr>
            <w:r w:rsidRPr="00966BD4">
              <w:t>11.0</w:t>
            </w:r>
          </w:p>
        </w:tc>
        <w:tc>
          <w:tcPr>
            <w:tcW w:w="80" w:type="pct"/>
            <w:tcBorders>
              <w:top w:val="nil"/>
              <w:left w:val="nil"/>
              <w:bottom w:val="nil"/>
              <w:right w:val="nil"/>
            </w:tcBorders>
            <w:shd w:val="clear" w:color="000000" w:fill="FFFFFF"/>
            <w:noWrap/>
            <w:vAlign w:val="center"/>
            <w:hideMark/>
          </w:tcPr>
          <w:p w14:paraId="69D7F65E"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1D1367FD" w14:textId="77777777" w:rsidR="00D02ABF" w:rsidRPr="00F06AE2" w:rsidRDefault="00D02ABF" w:rsidP="00774E24">
            <w:pPr>
              <w:pStyle w:val="TableTextRight"/>
              <w:rPr>
                <w:b/>
                <w:highlight w:val="darkGray"/>
              </w:rPr>
            </w:pPr>
            <w:r w:rsidRPr="00966BD4">
              <w:t>10 1/4</w:t>
            </w:r>
          </w:p>
        </w:tc>
        <w:tc>
          <w:tcPr>
            <w:tcW w:w="464" w:type="pct"/>
            <w:tcBorders>
              <w:top w:val="nil"/>
              <w:left w:val="nil"/>
              <w:bottom w:val="nil"/>
              <w:right w:val="nil"/>
            </w:tcBorders>
            <w:shd w:val="clear" w:color="000000" w:fill="E6F2FF"/>
            <w:noWrap/>
            <w:vAlign w:val="center"/>
            <w:hideMark/>
          </w:tcPr>
          <w:p w14:paraId="0C8927B6" w14:textId="77777777" w:rsidR="00D02ABF" w:rsidRPr="00F06AE2" w:rsidRDefault="00D02ABF" w:rsidP="00774E24">
            <w:pPr>
              <w:pStyle w:val="TableTextRight"/>
              <w:rPr>
                <w:b/>
                <w:highlight w:val="darkGray"/>
              </w:rPr>
            </w:pPr>
            <w:r w:rsidRPr="00966BD4">
              <w:t>1 1/4</w:t>
            </w:r>
          </w:p>
        </w:tc>
        <w:tc>
          <w:tcPr>
            <w:tcW w:w="464" w:type="pct"/>
            <w:tcBorders>
              <w:top w:val="nil"/>
              <w:left w:val="nil"/>
              <w:bottom w:val="nil"/>
              <w:right w:val="nil"/>
            </w:tcBorders>
            <w:shd w:val="clear" w:color="000000" w:fill="E6F2FF"/>
            <w:noWrap/>
            <w:vAlign w:val="center"/>
            <w:hideMark/>
          </w:tcPr>
          <w:p w14:paraId="04C51995" w14:textId="77777777" w:rsidR="00D02ABF" w:rsidRPr="00F06AE2" w:rsidRDefault="00D02ABF" w:rsidP="00774E24">
            <w:pPr>
              <w:pStyle w:val="TableTextRight"/>
              <w:rPr>
                <w:b/>
                <w:highlight w:val="darkGray"/>
              </w:rPr>
            </w:pPr>
            <w:r w:rsidRPr="00966BD4">
              <w:t>2 1/2</w:t>
            </w:r>
          </w:p>
        </w:tc>
        <w:tc>
          <w:tcPr>
            <w:tcW w:w="464" w:type="pct"/>
            <w:tcBorders>
              <w:top w:val="nil"/>
              <w:left w:val="nil"/>
              <w:bottom w:val="nil"/>
              <w:right w:val="nil"/>
            </w:tcBorders>
            <w:shd w:val="clear" w:color="000000" w:fill="E6F2FF"/>
            <w:noWrap/>
            <w:vAlign w:val="center"/>
            <w:hideMark/>
          </w:tcPr>
          <w:p w14:paraId="18731FE7" w14:textId="77777777" w:rsidR="00D02ABF" w:rsidRPr="00F06AE2" w:rsidRDefault="00D02ABF" w:rsidP="00774E24">
            <w:pPr>
              <w:pStyle w:val="TableTextRight"/>
              <w:rPr>
                <w:b/>
                <w:highlight w:val="darkGray"/>
              </w:rPr>
            </w:pPr>
            <w:r w:rsidRPr="00966BD4">
              <w:t>5 1/4</w:t>
            </w:r>
          </w:p>
        </w:tc>
        <w:tc>
          <w:tcPr>
            <w:tcW w:w="467" w:type="pct"/>
            <w:tcBorders>
              <w:top w:val="nil"/>
              <w:left w:val="nil"/>
              <w:bottom w:val="nil"/>
              <w:right w:val="nil"/>
            </w:tcBorders>
            <w:shd w:val="clear" w:color="000000" w:fill="E6F2FF"/>
            <w:noWrap/>
            <w:vAlign w:val="center"/>
            <w:hideMark/>
          </w:tcPr>
          <w:p w14:paraId="139BB24B" w14:textId="77777777" w:rsidR="00D02ABF" w:rsidRPr="00966BD4" w:rsidRDefault="00D02ABF" w:rsidP="00774E24">
            <w:pPr>
              <w:pStyle w:val="TableTextRight"/>
              <w:rPr>
                <w:b/>
              </w:rPr>
            </w:pPr>
            <w:r w:rsidRPr="00966BD4">
              <w:t>5 1/4</w:t>
            </w:r>
          </w:p>
        </w:tc>
      </w:tr>
      <w:tr w:rsidR="00495D85" w:rsidRPr="00F06AE2" w14:paraId="0E1B4687"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27A4AB8D" w14:textId="225C506E" w:rsidR="00D02ABF" w:rsidRPr="00F06AE2" w:rsidRDefault="00D02ABF" w:rsidP="00774E24">
            <w:pPr>
              <w:pStyle w:val="TableTextLeft"/>
              <w:rPr>
                <w:b/>
                <w:highlight w:val="darkGray"/>
              </w:rPr>
            </w:pPr>
            <w:r w:rsidRPr="00966BD4">
              <w:t xml:space="preserve">Change since </w:t>
            </w:r>
            <w:r w:rsidR="00CF4306" w:rsidRPr="00966BD4">
              <w:t>October Budget</w:t>
            </w:r>
          </w:p>
        </w:tc>
        <w:tc>
          <w:tcPr>
            <w:tcW w:w="492" w:type="pct"/>
            <w:tcBorders>
              <w:top w:val="nil"/>
              <w:left w:val="nil"/>
              <w:bottom w:val="nil"/>
              <w:right w:val="nil"/>
            </w:tcBorders>
            <w:shd w:val="clear" w:color="000000" w:fill="FFFFFF"/>
            <w:noWrap/>
            <w:vAlign w:val="center"/>
            <w:hideMark/>
          </w:tcPr>
          <w:p w14:paraId="73560A79"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46DCC462"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1E66CA55" w14:textId="77777777" w:rsidR="00D02ABF" w:rsidRPr="00F06AE2" w:rsidRDefault="00D02ABF" w:rsidP="00774E24">
            <w:pPr>
              <w:pStyle w:val="TableTextRight"/>
              <w:rPr>
                <w:b/>
                <w:highlight w:val="darkGray"/>
              </w:rPr>
            </w:pPr>
            <w:r w:rsidRPr="00966BD4">
              <w:t>2 1/4</w:t>
            </w:r>
          </w:p>
        </w:tc>
        <w:tc>
          <w:tcPr>
            <w:tcW w:w="464" w:type="pct"/>
            <w:tcBorders>
              <w:top w:val="nil"/>
              <w:left w:val="nil"/>
              <w:bottom w:val="nil"/>
              <w:right w:val="nil"/>
            </w:tcBorders>
            <w:shd w:val="clear" w:color="000000" w:fill="E6F2FF"/>
            <w:noWrap/>
            <w:vAlign w:val="center"/>
            <w:hideMark/>
          </w:tcPr>
          <w:p w14:paraId="686CD37A" w14:textId="77777777" w:rsidR="00D02ABF" w:rsidRPr="00F06AE2" w:rsidRDefault="00D02ABF" w:rsidP="00774E24">
            <w:pPr>
              <w:pStyle w:val="TableTextRight"/>
              <w:rPr>
                <w:b/>
                <w:highlight w:val="darkGray"/>
              </w:rPr>
            </w:pPr>
            <w:r w:rsidRPr="00966BD4">
              <w:t>2 1/4</w:t>
            </w:r>
          </w:p>
        </w:tc>
        <w:tc>
          <w:tcPr>
            <w:tcW w:w="464" w:type="pct"/>
            <w:tcBorders>
              <w:top w:val="nil"/>
              <w:left w:val="nil"/>
              <w:bottom w:val="nil"/>
              <w:right w:val="nil"/>
            </w:tcBorders>
            <w:shd w:val="clear" w:color="000000" w:fill="E6F2FF"/>
            <w:noWrap/>
            <w:vAlign w:val="center"/>
            <w:hideMark/>
          </w:tcPr>
          <w:p w14:paraId="31F9DCCB" w14:textId="306900CD" w:rsidR="00D02ABF" w:rsidRPr="00F06AE2" w:rsidRDefault="001B77CF" w:rsidP="00774E24">
            <w:pPr>
              <w:pStyle w:val="TableTextRight"/>
              <w:rPr>
                <w:b/>
                <w:highlight w:val="darkGray"/>
              </w:rPr>
            </w:pPr>
            <w:r>
              <w:noBreakHyphen/>
            </w:r>
            <w:r w:rsidR="00D02ABF" w:rsidRPr="00966BD4">
              <w:t>1 3/4</w:t>
            </w:r>
          </w:p>
        </w:tc>
        <w:tc>
          <w:tcPr>
            <w:tcW w:w="464" w:type="pct"/>
            <w:tcBorders>
              <w:top w:val="nil"/>
              <w:left w:val="nil"/>
              <w:bottom w:val="nil"/>
              <w:right w:val="nil"/>
            </w:tcBorders>
            <w:shd w:val="clear" w:color="000000" w:fill="E6F2FF"/>
            <w:noWrap/>
            <w:vAlign w:val="center"/>
            <w:hideMark/>
          </w:tcPr>
          <w:p w14:paraId="599819AF" w14:textId="7F9F4B5C" w:rsidR="00D02ABF" w:rsidRPr="00F06AE2" w:rsidRDefault="00350D88" w:rsidP="00774E24">
            <w:pPr>
              <w:pStyle w:val="TableTextRight"/>
              <w:rPr>
                <w:b/>
                <w:highlight w:val="darkGray"/>
              </w:rPr>
            </w:pPr>
            <w:r w:rsidRPr="00966BD4">
              <w:t>1/4</w:t>
            </w:r>
          </w:p>
        </w:tc>
        <w:tc>
          <w:tcPr>
            <w:tcW w:w="467" w:type="pct"/>
            <w:tcBorders>
              <w:top w:val="nil"/>
              <w:left w:val="nil"/>
              <w:bottom w:val="nil"/>
              <w:right w:val="nil"/>
            </w:tcBorders>
            <w:shd w:val="clear" w:color="000000" w:fill="E6F2FF"/>
            <w:noWrap/>
            <w:vAlign w:val="center"/>
            <w:hideMark/>
          </w:tcPr>
          <w:p w14:paraId="3B1E226B" w14:textId="77777777" w:rsidR="00D02ABF" w:rsidRPr="00966BD4" w:rsidRDefault="00D02ABF" w:rsidP="00774E24">
            <w:pPr>
              <w:pStyle w:val="TableTextRight"/>
            </w:pPr>
            <w:r w:rsidRPr="00966BD4">
              <w:t> </w:t>
            </w:r>
          </w:p>
        </w:tc>
      </w:tr>
      <w:tr w:rsidR="00495D85" w:rsidRPr="00F06AE2" w14:paraId="03DEC7B5" w14:textId="77777777" w:rsidTr="005534ED">
        <w:trPr>
          <w:trHeight w:hRule="exact" w:val="60"/>
        </w:trPr>
        <w:tc>
          <w:tcPr>
            <w:tcW w:w="2104" w:type="pct"/>
            <w:tcBorders>
              <w:top w:val="nil"/>
              <w:left w:val="nil"/>
              <w:bottom w:val="nil"/>
              <w:right w:val="nil"/>
            </w:tcBorders>
            <w:shd w:val="clear" w:color="000000" w:fill="FFFFFF"/>
            <w:noWrap/>
            <w:vAlign w:val="center"/>
            <w:hideMark/>
          </w:tcPr>
          <w:p w14:paraId="476D72D9"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4CDBC573"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2632A5B8"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000C4EA0"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3310E3D"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BFC2A41"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3EDDD0C"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6746029A" w14:textId="77777777" w:rsidR="00D02ABF" w:rsidRPr="00966BD4" w:rsidRDefault="00D02ABF" w:rsidP="00774E24">
            <w:pPr>
              <w:pStyle w:val="TableTextRight"/>
            </w:pPr>
            <w:r w:rsidRPr="00966BD4">
              <w:t> </w:t>
            </w:r>
          </w:p>
        </w:tc>
      </w:tr>
      <w:tr w:rsidR="00495D85" w:rsidRPr="00F06AE2" w14:paraId="3E9ADC58"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14A0249A" w14:textId="77777777" w:rsidR="00D02ABF" w:rsidRPr="00F06AE2" w:rsidRDefault="00D02ABF" w:rsidP="00774E24">
            <w:pPr>
              <w:pStyle w:val="TableTextLeft"/>
              <w:rPr>
                <w:b/>
                <w:highlight w:val="darkGray"/>
              </w:rPr>
            </w:pPr>
            <w:r w:rsidRPr="00966BD4">
              <w:t>Compensation of employees(b)</w:t>
            </w:r>
          </w:p>
        </w:tc>
        <w:tc>
          <w:tcPr>
            <w:tcW w:w="492" w:type="pct"/>
            <w:tcBorders>
              <w:top w:val="nil"/>
              <w:left w:val="nil"/>
              <w:bottom w:val="nil"/>
              <w:right w:val="nil"/>
            </w:tcBorders>
            <w:shd w:val="clear" w:color="000000" w:fill="FFFFFF"/>
            <w:noWrap/>
            <w:vAlign w:val="center"/>
            <w:hideMark/>
          </w:tcPr>
          <w:p w14:paraId="5EA8E41C" w14:textId="77777777" w:rsidR="00D02ABF" w:rsidRPr="00F06AE2" w:rsidRDefault="00D02ABF" w:rsidP="00774E24">
            <w:pPr>
              <w:pStyle w:val="TableTextRight"/>
              <w:rPr>
                <w:b/>
                <w:highlight w:val="darkGray"/>
              </w:rPr>
            </w:pPr>
            <w:r w:rsidRPr="00966BD4">
              <w:t>5.8</w:t>
            </w:r>
          </w:p>
        </w:tc>
        <w:tc>
          <w:tcPr>
            <w:tcW w:w="80" w:type="pct"/>
            <w:tcBorders>
              <w:top w:val="nil"/>
              <w:left w:val="nil"/>
              <w:bottom w:val="nil"/>
              <w:right w:val="nil"/>
            </w:tcBorders>
            <w:shd w:val="clear" w:color="000000" w:fill="FFFFFF"/>
            <w:noWrap/>
            <w:vAlign w:val="center"/>
            <w:hideMark/>
          </w:tcPr>
          <w:p w14:paraId="104400E8"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1BE38BFD" w14:textId="77777777" w:rsidR="00D02ABF" w:rsidRPr="00F06AE2" w:rsidRDefault="00D02ABF" w:rsidP="00774E24">
            <w:pPr>
              <w:pStyle w:val="TableTextRight"/>
              <w:rPr>
                <w:b/>
                <w:highlight w:val="darkGray"/>
              </w:rPr>
            </w:pPr>
            <w:r w:rsidRPr="00966BD4">
              <w:t>9 1/2</w:t>
            </w:r>
          </w:p>
        </w:tc>
        <w:tc>
          <w:tcPr>
            <w:tcW w:w="464" w:type="pct"/>
            <w:tcBorders>
              <w:top w:val="nil"/>
              <w:left w:val="nil"/>
              <w:bottom w:val="nil"/>
              <w:right w:val="nil"/>
            </w:tcBorders>
            <w:shd w:val="clear" w:color="000000" w:fill="E6F2FF"/>
            <w:noWrap/>
            <w:vAlign w:val="center"/>
            <w:hideMark/>
          </w:tcPr>
          <w:p w14:paraId="037E3C3C" w14:textId="77777777" w:rsidR="00D02ABF" w:rsidRPr="00F06AE2" w:rsidRDefault="00D02ABF" w:rsidP="00774E24">
            <w:pPr>
              <w:pStyle w:val="TableTextRight"/>
              <w:rPr>
                <w:b/>
                <w:highlight w:val="darkGray"/>
              </w:rPr>
            </w:pPr>
            <w:r w:rsidRPr="00966BD4">
              <w:t>5 1/4</w:t>
            </w:r>
          </w:p>
        </w:tc>
        <w:tc>
          <w:tcPr>
            <w:tcW w:w="464" w:type="pct"/>
            <w:tcBorders>
              <w:top w:val="nil"/>
              <w:left w:val="nil"/>
              <w:bottom w:val="nil"/>
              <w:right w:val="nil"/>
            </w:tcBorders>
            <w:shd w:val="clear" w:color="000000" w:fill="E6F2FF"/>
            <w:noWrap/>
            <w:vAlign w:val="center"/>
            <w:hideMark/>
          </w:tcPr>
          <w:p w14:paraId="1CD97CAD" w14:textId="77777777" w:rsidR="00D02ABF" w:rsidRPr="00F06AE2" w:rsidRDefault="00D02ABF" w:rsidP="00774E24">
            <w:pPr>
              <w:pStyle w:val="TableTextRight"/>
              <w:rPr>
                <w:b/>
                <w:highlight w:val="darkGray"/>
              </w:rPr>
            </w:pPr>
            <w:r w:rsidRPr="00966BD4">
              <w:t>4 1/4</w:t>
            </w:r>
          </w:p>
        </w:tc>
        <w:tc>
          <w:tcPr>
            <w:tcW w:w="464" w:type="pct"/>
            <w:tcBorders>
              <w:top w:val="nil"/>
              <w:left w:val="nil"/>
              <w:bottom w:val="nil"/>
              <w:right w:val="nil"/>
            </w:tcBorders>
            <w:shd w:val="clear" w:color="000000" w:fill="E6F2FF"/>
            <w:noWrap/>
            <w:vAlign w:val="center"/>
            <w:hideMark/>
          </w:tcPr>
          <w:p w14:paraId="5E90B922" w14:textId="77777777" w:rsidR="00D02ABF" w:rsidRPr="00F06AE2" w:rsidRDefault="00D02ABF" w:rsidP="00774E24">
            <w:pPr>
              <w:pStyle w:val="TableTextRight"/>
              <w:rPr>
                <w:b/>
                <w:highlight w:val="darkGray"/>
              </w:rPr>
            </w:pPr>
            <w:r w:rsidRPr="00966BD4">
              <w:t>4 3/4</w:t>
            </w:r>
          </w:p>
        </w:tc>
        <w:tc>
          <w:tcPr>
            <w:tcW w:w="467" w:type="pct"/>
            <w:tcBorders>
              <w:top w:val="nil"/>
              <w:left w:val="nil"/>
              <w:bottom w:val="nil"/>
              <w:right w:val="nil"/>
            </w:tcBorders>
            <w:shd w:val="clear" w:color="000000" w:fill="E6F2FF"/>
            <w:noWrap/>
            <w:vAlign w:val="center"/>
            <w:hideMark/>
          </w:tcPr>
          <w:p w14:paraId="711B47B5" w14:textId="77777777" w:rsidR="00D02ABF" w:rsidRPr="00966BD4" w:rsidRDefault="00D02ABF" w:rsidP="00774E24">
            <w:pPr>
              <w:pStyle w:val="TableTextRight"/>
              <w:rPr>
                <w:b/>
              </w:rPr>
            </w:pPr>
            <w:r w:rsidRPr="00966BD4">
              <w:t>5 1/2</w:t>
            </w:r>
          </w:p>
        </w:tc>
      </w:tr>
      <w:tr w:rsidR="00495D85" w:rsidRPr="00F06AE2" w14:paraId="10850882" w14:textId="77777777" w:rsidTr="005534ED">
        <w:trPr>
          <w:trHeight w:hRule="exact" w:val="230"/>
        </w:trPr>
        <w:tc>
          <w:tcPr>
            <w:tcW w:w="2104" w:type="pct"/>
            <w:tcBorders>
              <w:top w:val="nil"/>
              <w:left w:val="nil"/>
              <w:bottom w:val="nil"/>
              <w:right w:val="nil"/>
            </w:tcBorders>
            <w:shd w:val="clear" w:color="000000" w:fill="FFFFFF"/>
            <w:noWrap/>
            <w:vAlign w:val="center"/>
            <w:hideMark/>
          </w:tcPr>
          <w:p w14:paraId="560403E5" w14:textId="07322560" w:rsidR="00D02ABF" w:rsidRPr="00F06AE2" w:rsidRDefault="00D02ABF" w:rsidP="00774E24">
            <w:pPr>
              <w:pStyle w:val="TableTextLeft"/>
              <w:rPr>
                <w:b/>
                <w:highlight w:val="darkGray"/>
              </w:rPr>
            </w:pPr>
            <w:r w:rsidRPr="00966BD4">
              <w:t xml:space="preserve">Change since </w:t>
            </w:r>
            <w:r w:rsidR="00CF4306" w:rsidRPr="00966BD4">
              <w:t>October Budget</w:t>
            </w:r>
            <w:r w:rsidR="00CF4306" w:rsidRPr="00966BD4" w:rsidDel="00CF4306">
              <w:t xml:space="preserve"> </w:t>
            </w:r>
            <w:r w:rsidRPr="00966BD4">
              <w:t xml:space="preserve"> </w:t>
            </w:r>
          </w:p>
        </w:tc>
        <w:tc>
          <w:tcPr>
            <w:tcW w:w="492" w:type="pct"/>
            <w:tcBorders>
              <w:top w:val="nil"/>
              <w:left w:val="nil"/>
              <w:bottom w:val="nil"/>
              <w:right w:val="nil"/>
            </w:tcBorders>
            <w:shd w:val="clear" w:color="000000" w:fill="FFFFFF"/>
            <w:noWrap/>
            <w:vAlign w:val="center"/>
            <w:hideMark/>
          </w:tcPr>
          <w:p w14:paraId="73163F8E"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379122D9"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5F2A6D6" w14:textId="77777777" w:rsidR="00D02ABF" w:rsidRPr="00F06AE2" w:rsidRDefault="00D02ABF" w:rsidP="00774E24">
            <w:pPr>
              <w:pStyle w:val="TableTextRight"/>
              <w:rPr>
                <w:b/>
                <w:highlight w:val="darkGray"/>
              </w:rPr>
            </w:pPr>
            <w:r w:rsidRPr="00966BD4">
              <w:t>1 1/2</w:t>
            </w:r>
          </w:p>
        </w:tc>
        <w:tc>
          <w:tcPr>
            <w:tcW w:w="464" w:type="pct"/>
            <w:tcBorders>
              <w:top w:val="nil"/>
              <w:left w:val="nil"/>
              <w:bottom w:val="nil"/>
              <w:right w:val="nil"/>
            </w:tcBorders>
            <w:shd w:val="clear" w:color="000000" w:fill="E6F2FF"/>
            <w:noWrap/>
            <w:vAlign w:val="center"/>
            <w:hideMark/>
          </w:tcPr>
          <w:p w14:paraId="58F74EEF" w14:textId="2E4F74AB" w:rsidR="00D02ABF" w:rsidRPr="00F06AE2" w:rsidRDefault="00350D88" w:rsidP="00774E24">
            <w:pPr>
              <w:pStyle w:val="TableTextRight"/>
              <w:rPr>
                <w:b/>
                <w:highlight w:val="darkGray"/>
              </w:rPr>
            </w:pPr>
            <w:r w:rsidRPr="00966BD4">
              <w:t>1/4</w:t>
            </w:r>
          </w:p>
        </w:tc>
        <w:tc>
          <w:tcPr>
            <w:tcW w:w="464" w:type="pct"/>
            <w:tcBorders>
              <w:top w:val="nil"/>
              <w:left w:val="nil"/>
              <w:bottom w:val="nil"/>
              <w:right w:val="nil"/>
            </w:tcBorders>
            <w:shd w:val="clear" w:color="000000" w:fill="E6F2FF"/>
            <w:noWrap/>
            <w:vAlign w:val="center"/>
            <w:hideMark/>
          </w:tcPr>
          <w:p w14:paraId="229C15F2" w14:textId="77777777" w:rsidR="00D02ABF" w:rsidRPr="00F06AE2" w:rsidRDefault="00D02ABF" w:rsidP="00774E24">
            <w:pPr>
              <w:pStyle w:val="TableTextRight"/>
              <w:rPr>
                <w:b/>
                <w:highlight w:val="darkGray"/>
              </w:rPr>
            </w:pPr>
            <w:r w:rsidRPr="00966BD4">
              <w:t xml:space="preserve">0    </w:t>
            </w:r>
          </w:p>
        </w:tc>
        <w:tc>
          <w:tcPr>
            <w:tcW w:w="464" w:type="pct"/>
            <w:tcBorders>
              <w:top w:val="nil"/>
              <w:left w:val="nil"/>
              <w:bottom w:val="nil"/>
              <w:right w:val="nil"/>
            </w:tcBorders>
            <w:shd w:val="clear" w:color="000000" w:fill="E6F2FF"/>
            <w:noWrap/>
            <w:vAlign w:val="center"/>
            <w:hideMark/>
          </w:tcPr>
          <w:p w14:paraId="5902A6B3" w14:textId="77777777" w:rsidR="00D02ABF" w:rsidRPr="00F06AE2" w:rsidRDefault="00D02ABF" w:rsidP="00774E24">
            <w:pPr>
              <w:pStyle w:val="TableTextRight"/>
              <w:rPr>
                <w:b/>
                <w:highlight w:val="darkGray"/>
              </w:rPr>
            </w:pPr>
            <w:r w:rsidRPr="00966BD4">
              <w:t xml:space="preserve">0    </w:t>
            </w:r>
          </w:p>
        </w:tc>
        <w:tc>
          <w:tcPr>
            <w:tcW w:w="467" w:type="pct"/>
            <w:tcBorders>
              <w:top w:val="nil"/>
              <w:left w:val="nil"/>
              <w:bottom w:val="nil"/>
              <w:right w:val="nil"/>
            </w:tcBorders>
            <w:shd w:val="clear" w:color="000000" w:fill="E6F2FF"/>
            <w:noWrap/>
            <w:vAlign w:val="center"/>
            <w:hideMark/>
          </w:tcPr>
          <w:p w14:paraId="55C20D4C" w14:textId="77777777" w:rsidR="00D02ABF" w:rsidRPr="00966BD4" w:rsidRDefault="00D02ABF" w:rsidP="00774E24">
            <w:pPr>
              <w:pStyle w:val="TableTextRight"/>
            </w:pPr>
            <w:r w:rsidRPr="00966BD4">
              <w:t> </w:t>
            </w:r>
          </w:p>
        </w:tc>
      </w:tr>
      <w:tr w:rsidR="00495D85" w:rsidRPr="00F06AE2" w14:paraId="7B7B7166" w14:textId="77777777" w:rsidTr="005534ED">
        <w:trPr>
          <w:trHeight w:hRule="exact" w:val="70"/>
        </w:trPr>
        <w:tc>
          <w:tcPr>
            <w:tcW w:w="2104" w:type="pct"/>
            <w:tcBorders>
              <w:top w:val="nil"/>
              <w:left w:val="nil"/>
              <w:bottom w:val="nil"/>
              <w:right w:val="nil"/>
            </w:tcBorders>
            <w:shd w:val="clear" w:color="000000" w:fill="FFFFFF"/>
            <w:noWrap/>
            <w:vAlign w:val="center"/>
            <w:hideMark/>
          </w:tcPr>
          <w:p w14:paraId="5AA42C48"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6743A3D1"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28F064B7"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29548784"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2ADF8DEC"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D546EB3"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0B27AC50"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0C0A2007" w14:textId="77777777" w:rsidR="00D02ABF" w:rsidRPr="00966BD4" w:rsidRDefault="00D02ABF" w:rsidP="00774E24">
            <w:pPr>
              <w:pStyle w:val="TableTextRight"/>
            </w:pPr>
            <w:r w:rsidRPr="00966BD4">
              <w:t> </w:t>
            </w:r>
          </w:p>
        </w:tc>
      </w:tr>
      <w:tr w:rsidR="00495D85" w:rsidRPr="00F06AE2" w14:paraId="08DD4898"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49BA537C" w14:textId="77777777" w:rsidR="00D02ABF" w:rsidRPr="00F06AE2" w:rsidRDefault="00D02ABF" w:rsidP="00774E24">
            <w:pPr>
              <w:pStyle w:val="TableTextLeft"/>
              <w:rPr>
                <w:b/>
                <w:highlight w:val="darkGray"/>
              </w:rPr>
            </w:pPr>
            <w:r w:rsidRPr="00966BD4">
              <w:t xml:space="preserve">Corporate gross operating surplus(c) </w:t>
            </w:r>
          </w:p>
        </w:tc>
        <w:tc>
          <w:tcPr>
            <w:tcW w:w="492" w:type="pct"/>
            <w:tcBorders>
              <w:top w:val="nil"/>
              <w:left w:val="nil"/>
              <w:bottom w:val="nil"/>
              <w:right w:val="nil"/>
            </w:tcBorders>
            <w:shd w:val="clear" w:color="000000" w:fill="FFFFFF"/>
            <w:noWrap/>
            <w:vAlign w:val="center"/>
            <w:hideMark/>
          </w:tcPr>
          <w:p w14:paraId="0C219896" w14:textId="77777777" w:rsidR="00D02ABF" w:rsidRPr="00F06AE2" w:rsidRDefault="00D02ABF" w:rsidP="00774E24">
            <w:pPr>
              <w:pStyle w:val="TableTextRight"/>
              <w:rPr>
                <w:b/>
                <w:highlight w:val="darkGray"/>
              </w:rPr>
            </w:pPr>
            <w:r w:rsidRPr="00966BD4">
              <w:t>12.4</w:t>
            </w:r>
          </w:p>
        </w:tc>
        <w:tc>
          <w:tcPr>
            <w:tcW w:w="80" w:type="pct"/>
            <w:tcBorders>
              <w:top w:val="nil"/>
              <w:left w:val="nil"/>
              <w:bottom w:val="nil"/>
              <w:right w:val="nil"/>
            </w:tcBorders>
            <w:shd w:val="clear" w:color="000000" w:fill="FFFFFF"/>
            <w:noWrap/>
            <w:vAlign w:val="center"/>
            <w:hideMark/>
          </w:tcPr>
          <w:p w14:paraId="7FE7727A"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6D1FB72A" w14:textId="77777777" w:rsidR="00D02ABF" w:rsidRPr="00F06AE2" w:rsidRDefault="00D02ABF" w:rsidP="00774E24">
            <w:pPr>
              <w:pStyle w:val="TableTextRight"/>
              <w:rPr>
                <w:b/>
                <w:highlight w:val="darkGray"/>
              </w:rPr>
            </w:pPr>
            <w:r w:rsidRPr="00966BD4">
              <w:t xml:space="preserve">13    </w:t>
            </w:r>
          </w:p>
        </w:tc>
        <w:tc>
          <w:tcPr>
            <w:tcW w:w="464" w:type="pct"/>
            <w:tcBorders>
              <w:top w:val="nil"/>
              <w:left w:val="nil"/>
              <w:bottom w:val="nil"/>
              <w:right w:val="nil"/>
            </w:tcBorders>
            <w:shd w:val="clear" w:color="000000" w:fill="E6F2FF"/>
            <w:noWrap/>
            <w:vAlign w:val="center"/>
            <w:hideMark/>
          </w:tcPr>
          <w:p w14:paraId="74C2C868" w14:textId="78D05B51" w:rsidR="00D02ABF" w:rsidRPr="00F06AE2" w:rsidRDefault="001B77CF" w:rsidP="00774E24">
            <w:pPr>
              <w:pStyle w:val="TableTextRight"/>
              <w:rPr>
                <w:b/>
                <w:highlight w:val="darkGray"/>
              </w:rPr>
            </w:pPr>
            <w:r>
              <w:noBreakHyphen/>
            </w:r>
            <w:r w:rsidR="00D02ABF" w:rsidRPr="00966BD4">
              <w:t>8 3/4</w:t>
            </w:r>
          </w:p>
        </w:tc>
        <w:tc>
          <w:tcPr>
            <w:tcW w:w="464" w:type="pct"/>
            <w:tcBorders>
              <w:top w:val="nil"/>
              <w:left w:val="nil"/>
              <w:bottom w:val="nil"/>
              <w:right w:val="nil"/>
            </w:tcBorders>
            <w:shd w:val="clear" w:color="000000" w:fill="E6F2FF"/>
            <w:noWrap/>
            <w:vAlign w:val="center"/>
            <w:hideMark/>
          </w:tcPr>
          <w:p w14:paraId="6F8F2B40" w14:textId="4308532F" w:rsidR="00D02ABF" w:rsidRPr="00F06AE2" w:rsidRDefault="001B77CF" w:rsidP="00774E24">
            <w:pPr>
              <w:pStyle w:val="TableTextRight"/>
              <w:rPr>
                <w:b/>
                <w:highlight w:val="darkGray"/>
              </w:rPr>
            </w:pPr>
            <w:r>
              <w:noBreakHyphen/>
            </w:r>
            <w:r w:rsidR="00D02ABF" w:rsidRPr="00966BD4">
              <w:t>4 1/2</w:t>
            </w:r>
          </w:p>
        </w:tc>
        <w:tc>
          <w:tcPr>
            <w:tcW w:w="464" w:type="pct"/>
            <w:tcBorders>
              <w:top w:val="nil"/>
              <w:left w:val="nil"/>
              <w:bottom w:val="nil"/>
              <w:right w:val="nil"/>
            </w:tcBorders>
            <w:shd w:val="clear" w:color="000000" w:fill="E6F2FF"/>
            <w:noWrap/>
            <w:vAlign w:val="center"/>
            <w:hideMark/>
          </w:tcPr>
          <w:p w14:paraId="627B1EA0" w14:textId="77777777" w:rsidR="00D02ABF" w:rsidRPr="00F06AE2" w:rsidRDefault="00D02ABF" w:rsidP="00774E24">
            <w:pPr>
              <w:pStyle w:val="TableTextRight"/>
              <w:rPr>
                <w:b/>
                <w:highlight w:val="darkGray"/>
              </w:rPr>
            </w:pPr>
            <w:r w:rsidRPr="00966BD4">
              <w:t>5 1/4</w:t>
            </w:r>
          </w:p>
        </w:tc>
        <w:tc>
          <w:tcPr>
            <w:tcW w:w="467" w:type="pct"/>
            <w:tcBorders>
              <w:top w:val="nil"/>
              <w:left w:val="nil"/>
              <w:bottom w:val="nil"/>
              <w:right w:val="nil"/>
            </w:tcBorders>
            <w:shd w:val="clear" w:color="000000" w:fill="E6F2FF"/>
            <w:noWrap/>
            <w:vAlign w:val="center"/>
            <w:hideMark/>
          </w:tcPr>
          <w:p w14:paraId="2852BB04" w14:textId="77777777" w:rsidR="00D02ABF" w:rsidRPr="00966BD4" w:rsidRDefault="00D02ABF" w:rsidP="00774E24">
            <w:pPr>
              <w:pStyle w:val="TableTextRight"/>
              <w:rPr>
                <w:b/>
              </w:rPr>
            </w:pPr>
            <w:r w:rsidRPr="00966BD4">
              <w:t>4 1/2</w:t>
            </w:r>
          </w:p>
        </w:tc>
      </w:tr>
      <w:tr w:rsidR="00495D85" w:rsidRPr="00F06AE2" w14:paraId="6A1AB829" w14:textId="77777777" w:rsidTr="005534ED">
        <w:trPr>
          <w:trHeight w:hRule="exact" w:val="225"/>
        </w:trPr>
        <w:tc>
          <w:tcPr>
            <w:tcW w:w="2104" w:type="pct"/>
            <w:tcBorders>
              <w:top w:val="nil"/>
              <w:left w:val="nil"/>
              <w:bottom w:val="nil"/>
              <w:right w:val="nil"/>
            </w:tcBorders>
            <w:shd w:val="clear" w:color="000000" w:fill="FFFFFF"/>
            <w:noWrap/>
            <w:vAlign w:val="center"/>
            <w:hideMark/>
          </w:tcPr>
          <w:p w14:paraId="2C36B547" w14:textId="64F52C32" w:rsidR="00D02ABF" w:rsidRPr="00F06AE2" w:rsidRDefault="00D02ABF" w:rsidP="00774E24">
            <w:pPr>
              <w:pStyle w:val="TableTextLeft"/>
              <w:rPr>
                <w:b/>
                <w:highlight w:val="darkGray"/>
              </w:rPr>
            </w:pPr>
            <w:r w:rsidRPr="00966BD4">
              <w:t xml:space="preserve">Change since </w:t>
            </w:r>
            <w:r w:rsidR="00CF4306" w:rsidRPr="00966BD4">
              <w:t>October Budget</w:t>
            </w:r>
            <w:r w:rsidR="00CF4306" w:rsidRPr="00966BD4" w:rsidDel="00CF4306">
              <w:t xml:space="preserve"> </w:t>
            </w:r>
            <w:r w:rsidRPr="00966BD4">
              <w:t xml:space="preserve"> </w:t>
            </w:r>
          </w:p>
        </w:tc>
        <w:tc>
          <w:tcPr>
            <w:tcW w:w="492" w:type="pct"/>
            <w:tcBorders>
              <w:top w:val="nil"/>
              <w:left w:val="nil"/>
              <w:bottom w:val="nil"/>
              <w:right w:val="nil"/>
            </w:tcBorders>
            <w:shd w:val="clear" w:color="000000" w:fill="FFFFFF"/>
            <w:noWrap/>
            <w:vAlign w:val="center"/>
            <w:hideMark/>
          </w:tcPr>
          <w:p w14:paraId="49D53843"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13DC4985"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04FD2B5E" w14:textId="77777777" w:rsidR="00D02ABF" w:rsidRPr="00F06AE2" w:rsidRDefault="00D02ABF" w:rsidP="00774E24">
            <w:pPr>
              <w:pStyle w:val="TableTextRight"/>
              <w:rPr>
                <w:b/>
                <w:highlight w:val="darkGray"/>
              </w:rPr>
            </w:pPr>
            <w:r w:rsidRPr="00966BD4">
              <w:t>5 1/4</w:t>
            </w:r>
          </w:p>
        </w:tc>
        <w:tc>
          <w:tcPr>
            <w:tcW w:w="464" w:type="pct"/>
            <w:tcBorders>
              <w:top w:val="nil"/>
              <w:left w:val="nil"/>
              <w:bottom w:val="nil"/>
              <w:right w:val="nil"/>
            </w:tcBorders>
            <w:shd w:val="clear" w:color="000000" w:fill="E6F2FF"/>
            <w:noWrap/>
            <w:vAlign w:val="center"/>
            <w:hideMark/>
          </w:tcPr>
          <w:p w14:paraId="7F756387" w14:textId="632B4C8A" w:rsidR="00D02ABF" w:rsidRPr="00F06AE2" w:rsidRDefault="00D02ABF" w:rsidP="00774E24">
            <w:pPr>
              <w:pStyle w:val="TableTextRight"/>
              <w:rPr>
                <w:b/>
                <w:highlight w:val="darkGray"/>
              </w:rPr>
            </w:pPr>
            <w:r w:rsidRPr="00966BD4">
              <w:t xml:space="preserve">6 </w:t>
            </w:r>
            <w:r w:rsidR="00BB3F2E" w:rsidRPr="00966BD4">
              <w:t>1/4</w:t>
            </w:r>
            <w:r w:rsidRPr="00966BD4">
              <w:t xml:space="preserve">    </w:t>
            </w:r>
          </w:p>
        </w:tc>
        <w:tc>
          <w:tcPr>
            <w:tcW w:w="464" w:type="pct"/>
            <w:tcBorders>
              <w:top w:val="nil"/>
              <w:left w:val="nil"/>
              <w:bottom w:val="nil"/>
              <w:right w:val="nil"/>
            </w:tcBorders>
            <w:shd w:val="clear" w:color="000000" w:fill="E6F2FF"/>
            <w:noWrap/>
            <w:vAlign w:val="center"/>
            <w:hideMark/>
          </w:tcPr>
          <w:p w14:paraId="55781C97" w14:textId="171238B4" w:rsidR="00D02ABF" w:rsidRPr="00F06AE2" w:rsidRDefault="001B77CF" w:rsidP="00774E24">
            <w:pPr>
              <w:pStyle w:val="TableTextRight"/>
              <w:rPr>
                <w:b/>
                <w:highlight w:val="darkGray"/>
              </w:rPr>
            </w:pPr>
            <w:r>
              <w:noBreakHyphen/>
            </w:r>
            <w:r w:rsidR="00D02ABF" w:rsidRPr="00966BD4">
              <w:t>8 1/4</w:t>
            </w:r>
          </w:p>
        </w:tc>
        <w:tc>
          <w:tcPr>
            <w:tcW w:w="464" w:type="pct"/>
            <w:tcBorders>
              <w:top w:val="nil"/>
              <w:left w:val="nil"/>
              <w:bottom w:val="nil"/>
              <w:right w:val="nil"/>
            </w:tcBorders>
            <w:shd w:val="clear" w:color="000000" w:fill="E6F2FF"/>
            <w:noWrap/>
            <w:vAlign w:val="center"/>
            <w:hideMark/>
          </w:tcPr>
          <w:p w14:paraId="7BEDB215" w14:textId="3C72F735" w:rsidR="00D02ABF" w:rsidRPr="00F06AE2" w:rsidRDefault="00350D88" w:rsidP="00774E24">
            <w:pPr>
              <w:pStyle w:val="TableTextRight"/>
              <w:rPr>
                <w:b/>
                <w:highlight w:val="darkGray"/>
              </w:rPr>
            </w:pPr>
            <w:r w:rsidRPr="00966BD4">
              <w:t>1/4</w:t>
            </w:r>
          </w:p>
        </w:tc>
        <w:tc>
          <w:tcPr>
            <w:tcW w:w="467" w:type="pct"/>
            <w:tcBorders>
              <w:top w:val="nil"/>
              <w:left w:val="nil"/>
              <w:bottom w:val="nil"/>
              <w:right w:val="nil"/>
            </w:tcBorders>
            <w:shd w:val="clear" w:color="000000" w:fill="E6F2FF"/>
            <w:noWrap/>
            <w:vAlign w:val="center"/>
            <w:hideMark/>
          </w:tcPr>
          <w:p w14:paraId="68D5B8AD" w14:textId="77777777" w:rsidR="00D02ABF" w:rsidRPr="00966BD4" w:rsidRDefault="00D02ABF" w:rsidP="00774E24">
            <w:pPr>
              <w:pStyle w:val="TableTextRight"/>
            </w:pPr>
            <w:r w:rsidRPr="00966BD4">
              <w:t> </w:t>
            </w:r>
          </w:p>
        </w:tc>
      </w:tr>
      <w:tr w:rsidR="00495D85" w:rsidRPr="00F06AE2" w14:paraId="776A82BB" w14:textId="77777777" w:rsidTr="005534ED">
        <w:trPr>
          <w:trHeight w:hRule="exact" w:val="70"/>
        </w:trPr>
        <w:tc>
          <w:tcPr>
            <w:tcW w:w="2104" w:type="pct"/>
            <w:tcBorders>
              <w:top w:val="nil"/>
              <w:left w:val="nil"/>
              <w:bottom w:val="nil"/>
              <w:right w:val="nil"/>
            </w:tcBorders>
            <w:shd w:val="clear" w:color="000000" w:fill="FFFFFF"/>
            <w:noWrap/>
            <w:vAlign w:val="center"/>
            <w:hideMark/>
          </w:tcPr>
          <w:p w14:paraId="1E17EBA4"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16B7B7E4"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211659FB"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186B5D7"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7FAFA22"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25ABC19"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DEEEB70"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51CB1827" w14:textId="77777777" w:rsidR="00D02ABF" w:rsidRPr="00966BD4" w:rsidRDefault="00D02ABF" w:rsidP="00774E24">
            <w:pPr>
              <w:pStyle w:val="TableTextRight"/>
            </w:pPr>
            <w:r w:rsidRPr="00966BD4">
              <w:t> </w:t>
            </w:r>
          </w:p>
        </w:tc>
      </w:tr>
      <w:tr w:rsidR="00495D85" w:rsidRPr="00F06AE2" w14:paraId="6C9F4C84"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4C2635B8" w14:textId="35668314" w:rsidR="00D02ABF" w:rsidRPr="00F06AE2" w:rsidRDefault="00D02ABF" w:rsidP="00774E24">
            <w:pPr>
              <w:pStyle w:val="TableTextLeft"/>
              <w:rPr>
                <w:b/>
                <w:highlight w:val="darkGray"/>
              </w:rPr>
            </w:pPr>
            <w:r w:rsidRPr="00966BD4">
              <w:t>Non</w:t>
            </w:r>
            <w:r w:rsidR="001B77CF">
              <w:noBreakHyphen/>
            </w:r>
            <w:r w:rsidRPr="00966BD4">
              <w:t>farm gross mixed income</w:t>
            </w:r>
          </w:p>
        </w:tc>
        <w:tc>
          <w:tcPr>
            <w:tcW w:w="492" w:type="pct"/>
            <w:tcBorders>
              <w:top w:val="nil"/>
              <w:left w:val="nil"/>
              <w:bottom w:val="nil"/>
              <w:right w:val="nil"/>
            </w:tcBorders>
            <w:shd w:val="clear" w:color="000000" w:fill="FFFFFF"/>
            <w:noWrap/>
            <w:vAlign w:val="center"/>
            <w:hideMark/>
          </w:tcPr>
          <w:p w14:paraId="70E7C25C" w14:textId="23144F4B" w:rsidR="00D02ABF" w:rsidRPr="00F06AE2" w:rsidRDefault="001B77CF" w:rsidP="00774E24">
            <w:pPr>
              <w:pStyle w:val="TableTextRight"/>
              <w:rPr>
                <w:b/>
                <w:highlight w:val="darkGray"/>
              </w:rPr>
            </w:pPr>
            <w:r>
              <w:noBreakHyphen/>
            </w:r>
            <w:r w:rsidR="00D02ABF" w:rsidRPr="00966BD4">
              <w:t>2.0</w:t>
            </w:r>
          </w:p>
        </w:tc>
        <w:tc>
          <w:tcPr>
            <w:tcW w:w="80" w:type="pct"/>
            <w:tcBorders>
              <w:top w:val="nil"/>
              <w:left w:val="nil"/>
              <w:bottom w:val="nil"/>
              <w:right w:val="nil"/>
            </w:tcBorders>
            <w:shd w:val="clear" w:color="000000" w:fill="FFFFFF"/>
            <w:noWrap/>
            <w:vAlign w:val="center"/>
            <w:hideMark/>
          </w:tcPr>
          <w:p w14:paraId="0618408E"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6B71483F" w14:textId="77777777" w:rsidR="00D02ABF" w:rsidRPr="00F06AE2" w:rsidRDefault="00D02ABF" w:rsidP="00774E24">
            <w:pPr>
              <w:pStyle w:val="TableTextRight"/>
              <w:rPr>
                <w:b/>
                <w:highlight w:val="darkGray"/>
              </w:rPr>
            </w:pPr>
            <w:r w:rsidRPr="00966BD4">
              <w:t>5 1/4</w:t>
            </w:r>
          </w:p>
        </w:tc>
        <w:tc>
          <w:tcPr>
            <w:tcW w:w="464" w:type="pct"/>
            <w:tcBorders>
              <w:top w:val="nil"/>
              <w:left w:val="nil"/>
              <w:bottom w:val="nil"/>
              <w:right w:val="nil"/>
            </w:tcBorders>
            <w:shd w:val="clear" w:color="000000" w:fill="E6F2FF"/>
            <w:noWrap/>
            <w:vAlign w:val="center"/>
            <w:hideMark/>
          </w:tcPr>
          <w:p w14:paraId="73ED8FB8" w14:textId="77777777" w:rsidR="00D02ABF" w:rsidRPr="00F06AE2" w:rsidRDefault="00D02ABF" w:rsidP="00774E24">
            <w:pPr>
              <w:pStyle w:val="TableTextRight"/>
              <w:rPr>
                <w:b/>
                <w:highlight w:val="darkGray"/>
              </w:rPr>
            </w:pPr>
            <w:r w:rsidRPr="00966BD4">
              <w:t xml:space="preserve">5    </w:t>
            </w:r>
          </w:p>
        </w:tc>
        <w:tc>
          <w:tcPr>
            <w:tcW w:w="464" w:type="pct"/>
            <w:tcBorders>
              <w:top w:val="nil"/>
              <w:left w:val="nil"/>
              <w:bottom w:val="nil"/>
              <w:right w:val="nil"/>
            </w:tcBorders>
            <w:shd w:val="clear" w:color="000000" w:fill="E6F2FF"/>
            <w:noWrap/>
            <w:vAlign w:val="center"/>
            <w:hideMark/>
          </w:tcPr>
          <w:p w14:paraId="7BAF8957" w14:textId="77777777" w:rsidR="00D02ABF" w:rsidRPr="00F06AE2" w:rsidRDefault="00D02ABF" w:rsidP="00774E24">
            <w:pPr>
              <w:pStyle w:val="TableTextRight"/>
              <w:rPr>
                <w:b/>
                <w:highlight w:val="darkGray"/>
              </w:rPr>
            </w:pPr>
            <w:r w:rsidRPr="00966BD4">
              <w:t>5 3/4</w:t>
            </w:r>
          </w:p>
        </w:tc>
        <w:tc>
          <w:tcPr>
            <w:tcW w:w="464" w:type="pct"/>
            <w:tcBorders>
              <w:top w:val="nil"/>
              <w:left w:val="nil"/>
              <w:bottom w:val="nil"/>
              <w:right w:val="nil"/>
            </w:tcBorders>
            <w:shd w:val="clear" w:color="000000" w:fill="E6F2FF"/>
            <w:noWrap/>
            <w:vAlign w:val="center"/>
            <w:hideMark/>
          </w:tcPr>
          <w:p w14:paraId="1834C66B" w14:textId="77777777" w:rsidR="00D02ABF" w:rsidRPr="00F06AE2" w:rsidRDefault="00D02ABF" w:rsidP="00774E24">
            <w:pPr>
              <w:pStyle w:val="TableTextRight"/>
              <w:rPr>
                <w:b/>
                <w:highlight w:val="darkGray"/>
              </w:rPr>
            </w:pPr>
            <w:r w:rsidRPr="00966BD4">
              <w:t>5 1/2</w:t>
            </w:r>
          </w:p>
        </w:tc>
        <w:tc>
          <w:tcPr>
            <w:tcW w:w="467" w:type="pct"/>
            <w:tcBorders>
              <w:top w:val="nil"/>
              <w:left w:val="nil"/>
              <w:bottom w:val="nil"/>
              <w:right w:val="nil"/>
            </w:tcBorders>
            <w:shd w:val="clear" w:color="000000" w:fill="E6F2FF"/>
            <w:noWrap/>
            <w:vAlign w:val="center"/>
            <w:hideMark/>
          </w:tcPr>
          <w:p w14:paraId="3BACBB6E" w14:textId="77777777" w:rsidR="00D02ABF" w:rsidRPr="00966BD4" w:rsidRDefault="00D02ABF" w:rsidP="00774E24">
            <w:pPr>
              <w:pStyle w:val="TableTextRight"/>
              <w:rPr>
                <w:b/>
              </w:rPr>
            </w:pPr>
            <w:r w:rsidRPr="00966BD4">
              <w:t>5 1/2</w:t>
            </w:r>
          </w:p>
        </w:tc>
      </w:tr>
      <w:tr w:rsidR="00495D85" w:rsidRPr="00F06AE2" w14:paraId="34CA96AA"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364750D3" w14:textId="6B6892D9" w:rsidR="00D02ABF" w:rsidRPr="00F06AE2" w:rsidRDefault="00D02ABF" w:rsidP="00774E24">
            <w:pPr>
              <w:pStyle w:val="TableTextLeft"/>
              <w:rPr>
                <w:b/>
                <w:highlight w:val="darkGray"/>
              </w:rPr>
            </w:pPr>
            <w:r w:rsidRPr="00966BD4">
              <w:t xml:space="preserve">Change since </w:t>
            </w:r>
            <w:r w:rsidR="00CF4306" w:rsidRPr="00966BD4">
              <w:t>October Budget</w:t>
            </w:r>
            <w:r w:rsidR="00CF4306" w:rsidRPr="00966BD4" w:rsidDel="00CF4306">
              <w:t xml:space="preserve"> </w:t>
            </w:r>
            <w:r w:rsidRPr="00966BD4">
              <w:t xml:space="preserve"> </w:t>
            </w:r>
          </w:p>
        </w:tc>
        <w:tc>
          <w:tcPr>
            <w:tcW w:w="492" w:type="pct"/>
            <w:tcBorders>
              <w:top w:val="nil"/>
              <w:left w:val="nil"/>
              <w:bottom w:val="nil"/>
              <w:right w:val="nil"/>
            </w:tcBorders>
            <w:shd w:val="clear" w:color="000000" w:fill="FFFFFF"/>
            <w:noWrap/>
            <w:vAlign w:val="center"/>
            <w:hideMark/>
          </w:tcPr>
          <w:p w14:paraId="68F485A4"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07B7E05D"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42705F6" w14:textId="7D942149" w:rsidR="00D02ABF" w:rsidRPr="00F06AE2" w:rsidRDefault="001B77CF" w:rsidP="00774E24">
            <w:pPr>
              <w:pStyle w:val="TableTextRight"/>
              <w:rPr>
                <w:b/>
                <w:highlight w:val="darkGray"/>
              </w:rPr>
            </w:pPr>
            <w:r>
              <w:noBreakHyphen/>
            </w:r>
            <w:r w:rsidR="00D02ABF" w:rsidRPr="00966BD4">
              <w:t>1 1/2</w:t>
            </w:r>
          </w:p>
        </w:tc>
        <w:tc>
          <w:tcPr>
            <w:tcW w:w="464" w:type="pct"/>
            <w:tcBorders>
              <w:top w:val="nil"/>
              <w:left w:val="nil"/>
              <w:bottom w:val="nil"/>
              <w:right w:val="nil"/>
            </w:tcBorders>
            <w:shd w:val="clear" w:color="000000" w:fill="E6F2FF"/>
            <w:noWrap/>
            <w:vAlign w:val="center"/>
            <w:hideMark/>
          </w:tcPr>
          <w:p w14:paraId="581C6E5B" w14:textId="77777777" w:rsidR="00D02ABF" w:rsidRPr="00F06AE2" w:rsidRDefault="00D02ABF" w:rsidP="00774E24">
            <w:pPr>
              <w:pStyle w:val="TableTextRight"/>
              <w:rPr>
                <w:b/>
                <w:highlight w:val="darkGray"/>
              </w:rPr>
            </w:pPr>
            <w:r w:rsidRPr="00966BD4">
              <w:t>1 1/4</w:t>
            </w:r>
          </w:p>
        </w:tc>
        <w:tc>
          <w:tcPr>
            <w:tcW w:w="464" w:type="pct"/>
            <w:tcBorders>
              <w:top w:val="nil"/>
              <w:left w:val="nil"/>
              <w:bottom w:val="nil"/>
              <w:right w:val="nil"/>
            </w:tcBorders>
            <w:shd w:val="clear" w:color="000000" w:fill="E6F2FF"/>
            <w:noWrap/>
            <w:vAlign w:val="center"/>
            <w:hideMark/>
          </w:tcPr>
          <w:p w14:paraId="55C2778B" w14:textId="77777777" w:rsidR="00D02ABF" w:rsidRPr="00F06AE2" w:rsidRDefault="00D02ABF" w:rsidP="00774E24">
            <w:pPr>
              <w:pStyle w:val="TableTextRight"/>
              <w:rPr>
                <w:b/>
                <w:highlight w:val="darkGray"/>
              </w:rPr>
            </w:pPr>
            <w:r w:rsidRPr="00966BD4">
              <w:t xml:space="preserve">1    </w:t>
            </w:r>
          </w:p>
        </w:tc>
        <w:tc>
          <w:tcPr>
            <w:tcW w:w="464" w:type="pct"/>
            <w:tcBorders>
              <w:top w:val="nil"/>
              <w:left w:val="nil"/>
              <w:bottom w:val="nil"/>
              <w:right w:val="nil"/>
            </w:tcBorders>
            <w:shd w:val="clear" w:color="000000" w:fill="E6F2FF"/>
            <w:noWrap/>
            <w:vAlign w:val="center"/>
            <w:hideMark/>
          </w:tcPr>
          <w:p w14:paraId="2070EB36" w14:textId="14ACE963" w:rsidR="00D02ABF" w:rsidRPr="00F06AE2" w:rsidRDefault="001B77CF" w:rsidP="00774E24">
            <w:pPr>
              <w:pStyle w:val="TableTextRight"/>
              <w:rPr>
                <w:b/>
                <w:highlight w:val="darkGray"/>
              </w:rPr>
            </w:pPr>
            <w:r>
              <w:noBreakHyphen/>
            </w:r>
            <w:r w:rsidR="00D02ABF" w:rsidRPr="00966BD4">
              <w:t xml:space="preserve"> 1/2</w:t>
            </w:r>
          </w:p>
        </w:tc>
        <w:tc>
          <w:tcPr>
            <w:tcW w:w="467" w:type="pct"/>
            <w:tcBorders>
              <w:top w:val="nil"/>
              <w:left w:val="nil"/>
              <w:bottom w:val="nil"/>
              <w:right w:val="nil"/>
            </w:tcBorders>
            <w:shd w:val="clear" w:color="000000" w:fill="E6F2FF"/>
            <w:noWrap/>
            <w:vAlign w:val="center"/>
            <w:hideMark/>
          </w:tcPr>
          <w:p w14:paraId="26FC36AF" w14:textId="77777777" w:rsidR="00D02ABF" w:rsidRPr="00966BD4" w:rsidRDefault="00D02ABF" w:rsidP="00774E24">
            <w:pPr>
              <w:pStyle w:val="TableTextRight"/>
            </w:pPr>
            <w:r w:rsidRPr="00966BD4">
              <w:t> </w:t>
            </w:r>
          </w:p>
        </w:tc>
      </w:tr>
      <w:tr w:rsidR="00495D85" w:rsidRPr="00F06AE2" w14:paraId="15F7BFB7" w14:textId="77777777" w:rsidTr="005534ED">
        <w:trPr>
          <w:trHeight w:hRule="exact" w:val="70"/>
        </w:trPr>
        <w:tc>
          <w:tcPr>
            <w:tcW w:w="2104" w:type="pct"/>
            <w:tcBorders>
              <w:top w:val="nil"/>
              <w:left w:val="nil"/>
              <w:bottom w:val="nil"/>
              <w:right w:val="nil"/>
            </w:tcBorders>
            <w:shd w:val="clear" w:color="000000" w:fill="FFFFFF"/>
            <w:noWrap/>
            <w:vAlign w:val="center"/>
            <w:hideMark/>
          </w:tcPr>
          <w:p w14:paraId="5B02CF59"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15D97023"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51AFAA48"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B247581"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20BCBE8A"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03E68476"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D744B8E"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31835244" w14:textId="77777777" w:rsidR="00D02ABF" w:rsidRPr="00966BD4" w:rsidRDefault="00D02ABF" w:rsidP="00774E24">
            <w:pPr>
              <w:pStyle w:val="TableTextRight"/>
            </w:pPr>
            <w:r w:rsidRPr="00966BD4">
              <w:t> </w:t>
            </w:r>
          </w:p>
        </w:tc>
      </w:tr>
      <w:tr w:rsidR="00495D85" w:rsidRPr="00F06AE2" w14:paraId="24C9BFF5"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5C828E1E" w14:textId="77777777" w:rsidR="00D02ABF" w:rsidRPr="00F06AE2" w:rsidRDefault="00D02ABF" w:rsidP="00774E24">
            <w:pPr>
              <w:pStyle w:val="TableTextLeft"/>
              <w:rPr>
                <w:b/>
                <w:highlight w:val="darkGray"/>
              </w:rPr>
            </w:pPr>
            <w:r w:rsidRPr="00966BD4">
              <w:t>Property income(d)</w:t>
            </w:r>
          </w:p>
        </w:tc>
        <w:tc>
          <w:tcPr>
            <w:tcW w:w="492" w:type="pct"/>
            <w:tcBorders>
              <w:top w:val="nil"/>
              <w:left w:val="nil"/>
              <w:bottom w:val="nil"/>
              <w:right w:val="nil"/>
            </w:tcBorders>
            <w:shd w:val="clear" w:color="000000" w:fill="FFFFFF"/>
            <w:noWrap/>
            <w:vAlign w:val="center"/>
            <w:hideMark/>
          </w:tcPr>
          <w:p w14:paraId="17930F69" w14:textId="77777777" w:rsidR="00D02ABF" w:rsidRPr="00F06AE2" w:rsidRDefault="00D02ABF" w:rsidP="00774E24">
            <w:pPr>
              <w:pStyle w:val="TableTextRight"/>
              <w:rPr>
                <w:b/>
                <w:highlight w:val="darkGray"/>
              </w:rPr>
            </w:pPr>
            <w:r w:rsidRPr="00966BD4">
              <w:t>10.4</w:t>
            </w:r>
          </w:p>
        </w:tc>
        <w:tc>
          <w:tcPr>
            <w:tcW w:w="80" w:type="pct"/>
            <w:tcBorders>
              <w:top w:val="nil"/>
              <w:left w:val="nil"/>
              <w:bottom w:val="nil"/>
              <w:right w:val="nil"/>
            </w:tcBorders>
            <w:shd w:val="clear" w:color="000000" w:fill="FFFFFF"/>
            <w:noWrap/>
            <w:vAlign w:val="center"/>
            <w:hideMark/>
          </w:tcPr>
          <w:p w14:paraId="7FC2E1F1"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262E098" w14:textId="77777777" w:rsidR="00D02ABF" w:rsidRPr="00F06AE2" w:rsidRDefault="00D02ABF" w:rsidP="00774E24">
            <w:pPr>
              <w:pStyle w:val="TableTextRight"/>
              <w:rPr>
                <w:b/>
                <w:highlight w:val="darkGray"/>
              </w:rPr>
            </w:pPr>
            <w:r w:rsidRPr="00966BD4">
              <w:t>24 1/2</w:t>
            </w:r>
          </w:p>
        </w:tc>
        <w:tc>
          <w:tcPr>
            <w:tcW w:w="464" w:type="pct"/>
            <w:tcBorders>
              <w:top w:val="nil"/>
              <w:left w:val="nil"/>
              <w:bottom w:val="nil"/>
              <w:right w:val="nil"/>
            </w:tcBorders>
            <w:shd w:val="clear" w:color="000000" w:fill="E6F2FF"/>
            <w:noWrap/>
            <w:vAlign w:val="center"/>
            <w:hideMark/>
          </w:tcPr>
          <w:p w14:paraId="564F25C6" w14:textId="77777777" w:rsidR="00D02ABF" w:rsidRPr="00F06AE2" w:rsidRDefault="00D02ABF" w:rsidP="00774E24">
            <w:pPr>
              <w:pStyle w:val="TableTextRight"/>
              <w:rPr>
                <w:b/>
                <w:highlight w:val="darkGray"/>
              </w:rPr>
            </w:pPr>
            <w:r w:rsidRPr="00966BD4">
              <w:t>12 1/2</w:t>
            </w:r>
          </w:p>
        </w:tc>
        <w:tc>
          <w:tcPr>
            <w:tcW w:w="464" w:type="pct"/>
            <w:tcBorders>
              <w:top w:val="nil"/>
              <w:left w:val="nil"/>
              <w:bottom w:val="nil"/>
              <w:right w:val="nil"/>
            </w:tcBorders>
            <w:shd w:val="clear" w:color="000000" w:fill="E6F2FF"/>
            <w:noWrap/>
            <w:vAlign w:val="center"/>
            <w:hideMark/>
          </w:tcPr>
          <w:p w14:paraId="3568EED4" w14:textId="77777777" w:rsidR="00D02ABF" w:rsidRPr="00F06AE2" w:rsidRDefault="00D02ABF" w:rsidP="00774E24">
            <w:pPr>
              <w:pStyle w:val="TableTextRight"/>
              <w:rPr>
                <w:b/>
                <w:highlight w:val="darkGray"/>
              </w:rPr>
            </w:pPr>
            <w:r w:rsidRPr="00966BD4">
              <w:t>5 1/2</w:t>
            </w:r>
          </w:p>
        </w:tc>
        <w:tc>
          <w:tcPr>
            <w:tcW w:w="464" w:type="pct"/>
            <w:tcBorders>
              <w:top w:val="nil"/>
              <w:left w:val="nil"/>
              <w:bottom w:val="nil"/>
              <w:right w:val="nil"/>
            </w:tcBorders>
            <w:shd w:val="clear" w:color="000000" w:fill="E6F2FF"/>
            <w:noWrap/>
            <w:vAlign w:val="center"/>
            <w:hideMark/>
          </w:tcPr>
          <w:p w14:paraId="159F02F3" w14:textId="77777777" w:rsidR="00D02ABF" w:rsidRPr="00F06AE2" w:rsidRDefault="00D02ABF" w:rsidP="00774E24">
            <w:pPr>
              <w:pStyle w:val="TableTextRight"/>
              <w:rPr>
                <w:b/>
                <w:highlight w:val="darkGray"/>
              </w:rPr>
            </w:pPr>
            <w:r w:rsidRPr="00966BD4">
              <w:t>6 1/4</w:t>
            </w:r>
          </w:p>
        </w:tc>
        <w:tc>
          <w:tcPr>
            <w:tcW w:w="467" w:type="pct"/>
            <w:tcBorders>
              <w:top w:val="nil"/>
              <w:left w:val="nil"/>
              <w:bottom w:val="nil"/>
              <w:right w:val="nil"/>
            </w:tcBorders>
            <w:shd w:val="clear" w:color="000000" w:fill="E6F2FF"/>
            <w:noWrap/>
            <w:vAlign w:val="center"/>
            <w:hideMark/>
          </w:tcPr>
          <w:p w14:paraId="1040E624" w14:textId="77777777" w:rsidR="00D02ABF" w:rsidRPr="00966BD4" w:rsidRDefault="00D02ABF" w:rsidP="00774E24">
            <w:pPr>
              <w:pStyle w:val="TableTextRight"/>
              <w:rPr>
                <w:b/>
              </w:rPr>
            </w:pPr>
            <w:r w:rsidRPr="00966BD4">
              <w:t>5 1/4</w:t>
            </w:r>
          </w:p>
        </w:tc>
      </w:tr>
      <w:tr w:rsidR="00495D85" w:rsidRPr="00F06AE2" w14:paraId="0F6F0D62"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6AD5DB6A" w14:textId="0ABA068F" w:rsidR="00D02ABF" w:rsidRPr="00F06AE2" w:rsidRDefault="00D02ABF" w:rsidP="00774E24">
            <w:pPr>
              <w:pStyle w:val="TableTextLeft"/>
              <w:rPr>
                <w:b/>
                <w:highlight w:val="darkGray"/>
              </w:rPr>
            </w:pPr>
            <w:r w:rsidRPr="00966BD4">
              <w:t xml:space="preserve">Change since </w:t>
            </w:r>
            <w:r w:rsidR="00CF4306" w:rsidRPr="00966BD4">
              <w:t>October Budget</w:t>
            </w:r>
            <w:r w:rsidR="00CF4306" w:rsidRPr="00966BD4" w:rsidDel="00CF4306">
              <w:t xml:space="preserve"> </w:t>
            </w:r>
          </w:p>
        </w:tc>
        <w:tc>
          <w:tcPr>
            <w:tcW w:w="492" w:type="pct"/>
            <w:tcBorders>
              <w:top w:val="nil"/>
              <w:left w:val="nil"/>
              <w:bottom w:val="nil"/>
              <w:right w:val="nil"/>
            </w:tcBorders>
            <w:shd w:val="clear" w:color="000000" w:fill="FFFFFF"/>
            <w:noWrap/>
            <w:vAlign w:val="center"/>
            <w:hideMark/>
          </w:tcPr>
          <w:p w14:paraId="294F614D"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6554A11C"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7AB59CB7" w14:textId="77777777" w:rsidR="00D02ABF" w:rsidRPr="00F06AE2" w:rsidRDefault="00D02ABF" w:rsidP="00774E24">
            <w:pPr>
              <w:pStyle w:val="TableTextRight"/>
              <w:rPr>
                <w:b/>
                <w:highlight w:val="darkGray"/>
              </w:rPr>
            </w:pPr>
            <w:r w:rsidRPr="00966BD4">
              <w:t>18 1/2</w:t>
            </w:r>
          </w:p>
        </w:tc>
        <w:tc>
          <w:tcPr>
            <w:tcW w:w="464" w:type="pct"/>
            <w:tcBorders>
              <w:top w:val="nil"/>
              <w:left w:val="nil"/>
              <w:bottom w:val="nil"/>
              <w:right w:val="nil"/>
            </w:tcBorders>
            <w:shd w:val="clear" w:color="000000" w:fill="E6F2FF"/>
            <w:noWrap/>
            <w:vAlign w:val="center"/>
            <w:hideMark/>
          </w:tcPr>
          <w:p w14:paraId="244A07C0" w14:textId="77777777" w:rsidR="00D02ABF" w:rsidRPr="00F06AE2" w:rsidRDefault="00D02ABF" w:rsidP="00774E24">
            <w:pPr>
              <w:pStyle w:val="TableTextRight"/>
              <w:rPr>
                <w:b/>
                <w:highlight w:val="darkGray"/>
              </w:rPr>
            </w:pPr>
            <w:r w:rsidRPr="00966BD4">
              <w:t>7 1/2</w:t>
            </w:r>
          </w:p>
        </w:tc>
        <w:tc>
          <w:tcPr>
            <w:tcW w:w="464" w:type="pct"/>
            <w:tcBorders>
              <w:top w:val="nil"/>
              <w:left w:val="nil"/>
              <w:bottom w:val="nil"/>
              <w:right w:val="nil"/>
            </w:tcBorders>
            <w:shd w:val="clear" w:color="000000" w:fill="E6F2FF"/>
            <w:noWrap/>
            <w:vAlign w:val="center"/>
            <w:hideMark/>
          </w:tcPr>
          <w:p w14:paraId="4718208C" w14:textId="77777777" w:rsidR="00D02ABF" w:rsidRPr="00F06AE2" w:rsidRDefault="00D02ABF" w:rsidP="00774E24">
            <w:pPr>
              <w:pStyle w:val="TableTextRight"/>
              <w:rPr>
                <w:b/>
                <w:highlight w:val="darkGray"/>
              </w:rPr>
            </w:pPr>
            <w:r w:rsidRPr="00966BD4">
              <w:t xml:space="preserve">0    </w:t>
            </w:r>
          </w:p>
        </w:tc>
        <w:tc>
          <w:tcPr>
            <w:tcW w:w="464" w:type="pct"/>
            <w:tcBorders>
              <w:top w:val="nil"/>
              <w:left w:val="nil"/>
              <w:bottom w:val="nil"/>
              <w:right w:val="nil"/>
            </w:tcBorders>
            <w:shd w:val="clear" w:color="000000" w:fill="E6F2FF"/>
            <w:noWrap/>
            <w:vAlign w:val="center"/>
            <w:hideMark/>
          </w:tcPr>
          <w:p w14:paraId="03A585DC" w14:textId="77777777" w:rsidR="00D02ABF" w:rsidRPr="00F06AE2" w:rsidRDefault="00D02ABF" w:rsidP="00774E24">
            <w:pPr>
              <w:pStyle w:val="TableTextRight"/>
              <w:rPr>
                <w:b/>
                <w:highlight w:val="darkGray"/>
              </w:rPr>
            </w:pPr>
            <w:r w:rsidRPr="00966BD4">
              <w:t>1 1/4</w:t>
            </w:r>
          </w:p>
        </w:tc>
        <w:tc>
          <w:tcPr>
            <w:tcW w:w="467" w:type="pct"/>
            <w:tcBorders>
              <w:top w:val="nil"/>
              <w:left w:val="nil"/>
              <w:bottom w:val="nil"/>
              <w:right w:val="nil"/>
            </w:tcBorders>
            <w:shd w:val="clear" w:color="000000" w:fill="E6F2FF"/>
            <w:noWrap/>
            <w:vAlign w:val="center"/>
            <w:hideMark/>
          </w:tcPr>
          <w:p w14:paraId="000D0B16" w14:textId="77777777" w:rsidR="00D02ABF" w:rsidRPr="00966BD4" w:rsidRDefault="00D02ABF" w:rsidP="00774E24">
            <w:pPr>
              <w:pStyle w:val="TableTextRight"/>
            </w:pPr>
            <w:r w:rsidRPr="00966BD4">
              <w:t> </w:t>
            </w:r>
          </w:p>
        </w:tc>
      </w:tr>
      <w:tr w:rsidR="00495D85" w:rsidRPr="00F06AE2" w14:paraId="308F7313" w14:textId="77777777" w:rsidTr="005534ED">
        <w:trPr>
          <w:trHeight w:hRule="exact" w:val="70"/>
        </w:trPr>
        <w:tc>
          <w:tcPr>
            <w:tcW w:w="2104" w:type="pct"/>
            <w:tcBorders>
              <w:top w:val="nil"/>
              <w:left w:val="nil"/>
              <w:bottom w:val="nil"/>
              <w:right w:val="nil"/>
            </w:tcBorders>
            <w:shd w:val="clear" w:color="000000" w:fill="FFFFFF"/>
            <w:noWrap/>
            <w:vAlign w:val="center"/>
            <w:hideMark/>
          </w:tcPr>
          <w:p w14:paraId="32611988" w14:textId="77777777" w:rsidR="00D02ABF" w:rsidRPr="00F06AE2" w:rsidRDefault="00D02ABF" w:rsidP="00774E24">
            <w:pPr>
              <w:pStyle w:val="TableTextLeft"/>
              <w:rPr>
                <w:highlight w:val="darkGray"/>
              </w:rPr>
            </w:pPr>
            <w:r w:rsidRPr="00966BD4">
              <w:t> </w:t>
            </w:r>
          </w:p>
        </w:tc>
        <w:tc>
          <w:tcPr>
            <w:tcW w:w="492" w:type="pct"/>
            <w:tcBorders>
              <w:top w:val="nil"/>
              <w:left w:val="nil"/>
              <w:bottom w:val="nil"/>
              <w:right w:val="nil"/>
            </w:tcBorders>
            <w:shd w:val="clear" w:color="000000" w:fill="FFFFFF"/>
            <w:noWrap/>
            <w:vAlign w:val="center"/>
            <w:hideMark/>
          </w:tcPr>
          <w:p w14:paraId="521D4EFD" w14:textId="77777777" w:rsidR="00D02ABF" w:rsidRPr="00F06AE2" w:rsidRDefault="00D02ABF" w:rsidP="00774E24">
            <w:pPr>
              <w:pStyle w:val="TableTextRight"/>
              <w:rPr>
                <w:highlight w:val="darkGray"/>
              </w:rPr>
            </w:pPr>
            <w:r w:rsidRPr="00966BD4">
              <w:t> </w:t>
            </w:r>
          </w:p>
        </w:tc>
        <w:tc>
          <w:tcPr>
            <w:tcW w:w="80" w:type="pct"/>
            <w:tcBorders>
              <w:top w:val="nil"/>
              <w:left w:val="nil"/>
              <w:bottom w:val="nil"/>
              <w:right w:val="nil"/>
            </w:tcBorders>
            <w:shd w:val="clear" w:color="000000" w:fill="FFFFFF"/>
            <w:noWrap/>
            <w:vAlign w:val="center"/>
            <w:hideMark/>
          </w:tcPr>
          <w:p w14:paraId="496C2CB5"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55FBEBB4"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C8E2AF6"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512FFA7" w14:textId="77777777" w:rsidR="00D02ABF" w:rsidRPr="00F06AE2" w:rsidRDefault="00D02ABF" w:rsidP="00774E24">
            <w:pPr>
              <w:pStyle w:val="TableTextRight"/>
              <w:rPr>
                <w:highlight w:val="darkGray"/>
              </w:rPr>
            </w:pPr>
            <w:r w:rsidRPr="00966BD4">
              <w:t> </w:t>
            </w:r>
          </w:p>
        </w:tc>
        <w:tc>
          <w:tcPr>
            <w:tcW w:w="464" w:type="pct"/>
            <w:tcBorders>
              <w:top w:val="nil"/>
              <w:left w:val="nil"/>
              <w:bottom w:val="nil"/>
              <w:right w:val="nil"/>
            </w:tcBorders>
            <w:shd w:val="clear" w:color="000000" w:fill="E6F2FF"/>
            <w:noWrap/>
            <w:vAlign w:val="center"/>
            <w:hideMark/>
          </w:tcPr>
          <w:p w14:paraId="34E66CCE" w14:textId="77777777" w:rsidR="00D02ABF" w:rsidRPr="00F06AE2" w:rsidRDefault="00D02ABF" w:rsidP="00774E24">
            <w:pPr>
              <w:pStyle w:val="TableTextRight"/>
              <w:rPr>
                <w:highlight w:val="darkGray"/>
              </w:rPr>
            </w:pPr>
            <w:r w:rsidRPr="00966BD4">
              <w:t> </w:t>
            </w:r>
          </w:p>
        </w:tc>
        <w:tc>
          <w:tcPr>
            <w:tcW w:w="467" w:type="pct"/>
            <w:tcBorders>
              <w:top w:val="nil"/>
              <w:left w:val="nil"/>
              <w:bottom w:val="nil"/>
              <w:right w:val="nil"/>
            </w:tcBorders>
            <w:shd w:val="clear" w:color="000000" w:fill="E6F2FF"/>
            <w:noWrap/>
            <w:vAlign w:val="center"/>
            <w:hideMark/>
          </w:tcPr>
          <w:p w14:paraId="06E8EB17" w14:textId="77777777" w:rsidR="00D02ABF" w:rsidRPr="00966BD4" w:rsidRDefault="00D02ABF" w:rsidP="00774E24">
            <w:pPr>
              <w:pStyle w:val="TableTextRight"/>
            </w:pPr>
            <w:r w:rsidRPr="00966BD4">
              <w:t> </w:t>
            </w:r>
          </w:p>
        </w:tc>
      </w:tr>
      <w:tr w:rsidR="00495D85" w:rsidRPr="00F06AE2" w14:paraId="2A7B5C02" w14:textId="77777777" w:rsidTr="005534ED">
        <w:trPr>
          <w:trHeight w:hRule="exact" w:val="235"/>
        </w:trPr>
        <w:tc>
          <w:tcPr>
            <w:tcW w:w="2104" w:type="pct"/>
            <w:tcBorders>
              <w:top w:val="nil"/>
              <w:left w:val="nil"/>
              <w:bottom w:val="nil"/>
              <w:right w:val="nil"/>
            </w:tcBorders>
            <w:shd w:val="clear" w:color="000000" w:fill="FFFFFF"/>
            <w:noWrap/>
            <w:vAlign w:val="center"/>
            <w:hideMark/>
          </w:tcPr>
          <w:p w14:paraId="0A3E6FB4" w14:textId="77777777" w:rsidR="00D02ABF" w:rsidRPr="00F06AE2" w:rsidRDefault="00D02ABF" w:rsidP="00774E24">
            <w:pPr>
              <w:pStyle w:val="TableTextLeft"/>
              <w:rPr>
                <w:b/>
                <w:highlight w:val="darkGray"/>
              </w:rPr>
            </w:pPr>
            <w:r w:rsidRPr="00966BD4">
              <w:t>Consumption subject to GST</w:t>
            </w:r>
          </w:p>
        </w:tc>
        <w:tc>
          <w:tcPr>
            <w:tcW w:w="492" w:type="pct"/>
            <w:tcBorders>
              <w:top w:val="nil"/>
              <w:left w:val="nil"/>
              <w:right w:val="nil"/>
            </w:tcBorders>
            <w:shd w:val="clear" w:color="000000" w:fill="FFFFFF"/>
            <w:noWrap/>
            <w:vAlign w:val="center"/>
            <w:hideMark/>
          </w:tcPr>
          <w:p w14:paraId="18501107" w14:textId="77777777" w:rsidR="00D02ABF" w:rsidRPr="00F06AE2" w:rsidRDefault="00D02ABF" w:rsidP="00774E24">
            <w:pPr>
              <w:pStyle w:val="TableTextRight"/>
              <w:rPr>
                <w:b/>
                <w:highlight w:val="darkGray"/>
              </w:rPr>
            </w:pPr>
            <w:r w:rsidRPr="00966BD4">
              <w:t>8.9</w:t>
            </w:r>
          </w:p>
        </w:tc>
        <w:tc>
          <w:tcPr>
            <w:tcW w:w="80" w:type="pct"/>
            <w:tcBorders>
              <w:top w:val="nil"/>
              <w:left w:val="nil"/>
              <w:right w:val="nil"/>
            </w:tcBorders>
            <w:shd w:val="clear" w:color="000000" w:fill="FFFFFF"/>
            <w:noWrap/>
            <w:vAlign w:val="center"/>
            <w:hideMark/>
          </w:tcPr>
          <w:p w14:paraId="52A9FBB4" w14:textId="77777777" w:rsidR="00D02ABF" w:rsidRPr="00F06AE2" w:rsidRDefault="00D02ABF" w:rsidP="00774E24">
            <w:pPr>
              <w:pStyle w:val="TableTextRight"/>
              <w:rPr>
                <w:highlight w:val="darkGray"/>
              </w:rPr>
            </w:pPr>
            <w:r w:rsidRPr="00966BD4">
              <w:t> </w:t>
            </w:r>
          </w:p>
        </w:tc>
        <w:tc>
          <w:tcPr>
            <w:tcW w:w="464" w:type="pct"/>
            <w:tcBorders>
              <w:top w:val="nil"/>
              <w:left w:val="nil"/>
              <w:right w:val="nil"/>
            </w:tcBorders>
            <w:shd w:val="clear" w:color="000000" w:fill="E6F2FF"/>
            <w:noWrap/>
            <w:vAlign w:val="center"/>
            <w:hideMark/>
          </w:tcPr>
          <w:p w14:paraId="5E2A1124" w14:textId="77777777" w:rsidR="00D02ABF" w:rsidRPr="00F06AE2" w:rsidRDefault="00D02ABF" w:rsidP="00774E24">
            <w:pPr>
              <w:pStyle w:val="TableTextRight"/>
              <w:rPr>
                <w:b/>
                <w:highlight w:val="darkGray"/>
              </w:rPr>
            </w:pPr>
            <w:r w:rsidRPr="00966BD4">
              <w:t>15 1/4</w:t>
            </w:r>
          </w:p>
        </w:tc>
        <w:tc>
          <w:tcPr>
            <w:tcW w:w="464" w:type="pct"/>
            <w:tcBorders>
              <w:top w:val="nil"/>
              <w:left w:val="nil"/>
              <w:right w:val="nil"/>
            </w:tcBorders>
            <w:shd w:val="clear" w:color="000000" w:fill="E6F2FF"/>
            <w:noWrap/>
            <w:vAlign w:val="center"/>
            <w:hideMark/>
          </w:tcPr>
          <w:p w14:paraId="0EE0695F" w14:textId="77777777" w:rsidR="00D02ABF" w:rsidRPr="00F06AE2" w:rsidRDefault="00D02ABF" w:rsidP="00774E24">
            <w:pPr>
              <w:pStyle w:val="TableTextRight"/>
              <w:rPr>
                <w:b/>
                <w:highlight w:val="darkGray"/>
              </w:rPr>
            </w:pPr>
            <w:r w:rsidRPr="00966BD4">
              <w:t>4 1/2</w:t>
            </w:r>
          </w:p>
        </w:tc>
        <w:tc>
          <w:tcPr>
            <w:tcW w:w="464" w:type="pct"/>
            <w:tcBorders>
              <w:top w:val="nil"/>
              <w:left w:val="nil"/>
              <w:right w:val="nil"/>
            </w:tcBorders>
            <w:shd w:val="clear" w:color="000000" w:fill="E6F2FF"/>
            <w:noWrap/>
            <w:vAlign w:val="center"/>
            <w:hideMark/>
          </w:tcPr>
          <w:p w14:paraId="52372C70" w14:textId="77777777" w:rsidR="00D02ABF" w:rsidRPr="00F06AE2" w:rsidRDefault="00D02ABF" w:rsidP="00774E24">
            <w:pPr>
              <w:pStyle w:val="TableTextRight"/>
              <w:rPr>
                <w:b/>
                <w:highlight w:val="darkGray"/>
              </w:rPr>
            </w:pPr>
            <w:r w:rsidRPr="00966BD4">
              <w:t>4 1/2</w:t>
            </w:r>
          </w:p>
        </w:tc>
        <w:tc>
          <w:tcPr>
            <w:tcW w:w="464" w:type="pct"/>
            <w:tcBorders>
              <w:top w:val="nil"/>
              <w:left w:val="nil"/>
              <w:right w:val="nil"/>
            </w:tcBorders>
            <w:shd w:val="clear" w:color="000000" w:fill="E6F2FF"/>
            <w:noWrap/>
            <w:vAlign w:val="center"/>
            <w:hideMark/>
          </w:tcPr>
          <w:p w14:paraId="29B0B71B" w14:textId="77777777" w:rsidR="00D02ABF" w:rsidRPr="00F06AE2" w:rsidRDefault="00D02ABF" w:rsidP="00774E24">
            <w:pPr>
              <w:pStyle w:val="TableTextRight"/>
              <w:rPr>
                <w:b/>
                <w:highlight w:val="darkGray"/>
              </w:rPr>
            </w:pPr>
            <w:r w:rsidRPr="00966BD4">
              <w:t xml:space="preserve">5    </w:t>
            </w:r>
          </w:p>
        </w:tc>
        <w:tc>
          <w:tcPr>
            <w:tcW w:w="467" w:type="pct"/>
            <w:tcBorders>
              <w:top w:val="nil"/>
              <w:left w:val="nil"/>
              <w:right w:val="nil"/>
            </w:tcBorders>
            <w:shd w:val="clear" w:color="000000" w:fill="E6F2FF"/>
            <w:noWrap/>
            <w:vAlign w:val="center"/>
            <w:hideMark/>
          </w:tcPr>
          <w:p w14:paraId="7B6D484B" w14:textId="77777777" w:rsidR="00D02ABF" w:rsidRPr="00966BD4" w:rsidRDefault="00D02ABF" w:rsidP="00774E24">
            <w:pPr>
              <w:pStyle w:val="TableTextRight"/>
              <w:rPr>
                <w:b/>
              </w:rPr>
            </w:pPr>
            <w:r w:rsidRPr="00966BD4">
              <w:t xml:space="preserve">5    </w:t>
            </w:r>
          </w:p>
        </w:tc>
      </w:tr>
      <w:tr w:rsidR="00495D85" w:rsidRPr="00F06AE2" w14:paraId="7860AAA1" w14:textId="77777777" w:rsidTr="005534ED">
        <w:trPr>
          <w:trHeight w:hRule="exact" w:val="235"/>
        </w:trPr>
        <w:tc>
          <w:tcPr>
            <w:tcW w:w="2104" w:type="pct"/>
            <w:tcBorders>
              <w:top w:val="nil"/>
              <w:left w:val="nil"/>
              <w:bottom w:val="single" w:sz="4" w:space="0" w:color="auto"/>
              <w:right w:val="nil"/>
            </w:tcBorders>
            <w:shd w:val="clear" w:color="000000" w:fill="FFFFFF"/>
            <w:noWrap/>
            <w:vAlign w:val="center"/>
            <w:hideMark/>
          </w:tcPr>
          <w:p w14:paraId="59858ED1" w14:textId="42C632CA" w:rsidR="00D02ABF" w:rsidRPr="00F06AE2" w:rsidRDefault="00D02ABF" w:rsidP="00774E24">
            <w:pPr>
              <w:pStyle w:val="TableTextLeft"/>
              <w:rPr>
                <w:b/>
                <w:highlight w:val="darkGray"/>
              </w:rPr>
            </w:pPr>
            <w:r w:rsidRPr="00966BD4">
              <w:t xml:space="preserve">Change since </w:t>
            </w:r>
            <w:r w:rsidR="00CF4306" w:rsidRPr="00966BD4">
              <w:t>October Budget</w:t>
            </w:r>
            <w:r w:rsidR="00CF4306" w:rsidRPr="00966BD4" w:rsidDel="00CF4306">
              <w:t xml:space="preserve"> </w:t>
            </w:r>
          </w:p>
        </w:tc>
        <w:tc>
          <w:tcPr>
            <w:tcW w:w="492" w:type="pct"/>
            <w:tcBorders>
              <w:top w:val="nil"/>
              <w:left w:val="nil"/>
              <w:bottom w:val="single" w:sz="4" w:space="0" w:color="auto"/>
              <w:right w:val="nil"/>
            </w:tcBorders>
            <w:shd w:val="clear" w:color="000000" w:fill="FFFFFF"/>
            <w:noWrap/>
            <w:vAlign w:val="center"/>
            <w:hideMark/>
          </w:tcPr>
          <w:p w14:paraId="73C4DCD0" w14:textId="77777777" w:rsidR="00D02ABF" w:rsidRPr="00F06AE2" w:rsidRDefault="00D02ABF" w:rsidP="00774E24">
            <w:pPr>
              <w:pStyle w:val="TableTextRight"/>
              <w:rPr>
                <w:highlight w:val="darkGray"/>
              </w:rPr>
            </w:pPr>
            <w:r w:rsidRPr="00966BD4">
              <w:t> </w:t>
            </w:r>
          </w:p>
        </w:tc>
        <w:tc>
          <w:tcPr>
            <w:tcW w:w="80" w:type="pct"/>
            <w:tcBorders>
              <w:top w:val="nil"/>
              <w:left w:val="nil"/>
              <w:bottom w:val="single" w:sz="4" w:space="0" w:color="auto"/>
              <w:right w:val="nil"/>
            </w:tcBorders>
            <w:shd w:val="clear" w:color="000000" w:fill="FFFFFF"/>
            <w:noWrap/>
            <w:vAlign w:val="center"/>
            <w:hideMark/>
          </w:tcPr>
          <w:p w14:paraId="6257FF30" w14:textId="77777777" w:rsidR="00D02ABF" w:rsidRPr="00F06AE2" w:rsidRDefault="00D02ABF" w:rsidP="00774E24">
            <w:pPr>
              <w:pStyle w:val="TableTextRight"/>
              <w:rPr>
                <w:highlight w:val="darkGray"/>
              </w:rPr>
            </w:pPr>
            <w:r w:rsidRPr="00966BD4">
              <w:t> </w:t>
            </w:r>
          </w:p>
        </w:tc>
        <w:tc>
          <w:tcPr>
            <w:tcW w:w="464" w:type="pct"/>
            <w:tcBorders>
              <w:top w:val="nil"/>
              <w:left w:val="nil"/>
              <w:bottom w:val="single" w:sz="4" w:space="0" w:color="auto"/>
              <w:right w:val="nil"/>
            </w:tcBorders>
            <w:shd w:val="clear" w:color="000000" w:fill="E6F2FF"/>
            <w:noWrap/>
            <w:vAlign w:val="center"/>
            <w:hideMark/>
          </w:tcPr>
          <w:p w14:paraId="64E5B65E" w14:textId="26AA008A" w:rsidR="00D02ABF" w:rsidRPr="00F06AE2" w:rsidRDefault="00350D88" w:rsidP="00774E24">
            <w:pPr>
              <w:pStyle w:val="TableTextRight"/>
              <w:rPr>
                <w:b/>
                <w:highlight w:val="darkGray"/>
              </w:rPr>
            </w:pPr>
            <w:r w:rsidRPr="00966BD4">
              <w:t>1/2</w:t>
            </w:r>
          </w:p>
        </w:tc>
        <w:tc>
          <w:tcPr>
            <w:tcW w:w="464" w:type="pct"/>
            <w:tcBorders>
              <w:top w:val="nil"/>
              <w:left w:val="nil"/>
              <w:bottom w:val="single" w:sz="4" w:space="0" w:color="auto"/>
              <w:right w:val="nil"/>
            </w:tcBorders>
            <w:shd w:val="clear" w:color="000000" w:fill="E6F2FF"/>
            <w:noWrap/>
            <w:vAlign w:val="center"/>
            <w:hideMark/>
          </w:tcPr>
          <w:p w14:paraId="5B921D7F" w14:textId="4C7CDD4B" w:rsidR="00D02ABF" w:rsidRPr="00F06AE2" w:rsidRDefault="00350D88" w:rsidP="00774E24">
            <w:pPr>
              <w:pStyle w:val="TableTextRight"/>
              <w:rPr>
                <w:b/>
                <w:highlight w:val="darkGray"/>
              </w:rPr>
            </w:pPr>
            <w:r w:rsidRPr="00966BD4">
              <w:t>3/4</w:t>
            </w:r>
          </w:p>
        </w:tc>
        <w:tc>
          <w:tcPr>
            <w:tcW w:w="464" w:type="pct"/>
            <w:tcBorders>
              <w:top w:val="nil"/>
              <w:left w:val="nil"/>
              <w:bottom w:val="single" w:sz="4" w:space="0" w:color="auto"/>
              <w:right w:val="nil"/>
            </w:tcBorders>
            <w:shd w:val="clear" w:color="000000" w:fill="E6F2FF"/>
            <w:noWrap/>
            <w:vAlign w:val="center"/>
            <w:hideMark/>
          </w:tcPr>
          <w:p w14:paraId="0F8279D1" w14:textId="77777777" w:rsidR="00D02ABF" w:rsidRPr="00F06AE2" w:rsidRDefault="00D02ABF" w:rsidP="00774E24">
            <w:pPr>
              <w:pStyle w:val="TableTextRight"/>
              <w:rPr>
                <w:b/>
                <w:highlight w:val="darkGray"/>
              </w:rPr>
            </w:pPr>
            <w:r w:rsidRPr="00966BD4">
              <w:t xml:space="preserve">0    </w:t>
            </w:r>
          </w:p>
        </w:tc>
        <w:tc>
          <w:tcPr>
            <w:tcW w:w="464" w:type="pct"/>
            <w:tcBorders>
              <w:top w:val="nil"/>
              <w:left w:val="nil"/>
              <w:bottom w:val="single" w:sz="4" w:space="0" w:color="auto"/>
              <w:right w:val="nil"/>
            </w:tcBorders>
            <w:shd w:val="clear" w:color="000000" w:fill="E6F2FF"/>
            <w:noWrap/>
            <w:vAlign w:val="center"/>
            <w:hideMark/>
          </w:tcPr>
          <w:p w14:paraId="1B87F0E3" w14:textId="4927A996" w:rsidR="00D02ABF" w:rsidRPr="00F06AE2" w:rsidRDefault="001B77CF" w:rsidP="00774E24">
            <w:pPr>
              <w:pStyle w:val="TableTextRight"/>
              <w:rPr>
                <w:b/>
                <w:highlight w:val="darkGray"/>
              </w:rPr>
            </w:pPr>
            <w:r>
              <w:noBreakHyphen/>
            </w:r>
            <w:r w:rsidR="00D02ABF" w:rsidRPr="00966BD4">
              <w:t xml:space="preserve"> 1/4</w:t>
            </w:r>
          </w:p>
        </w:tc>
        <w:tc>
          <w:tcPr>
            <w:tcW w:w="467" w:type="pct"/>
            <w:tcBorders>
              <w:top w:val="nil"/>
              <w:left w:val="nil"/>
              <w:bottom w:val="single" w:sz="4" w:space="0" w:color="auto"/>
              <w:right w:val="nil"/>
            </w:tcBorders>
            <w:shd w:val="clear" w:color="000000" w:fill="E6F2FF"/>
            <w:noWrap/>
            <w:vAlign w:val="center"/>
            <w:hideMark/>
          </w:tcPr>
          <w:p w14:paraId="49310384" w14:textId="77777777" w:rsidR="00D02ABF" w:rsidRPr="00966BD4" w:rsidRDefault="00D02ABF" w:rsidP="00774E24">
            <w:pPr>
              <w:pStyle w:val="TableTextRight"/>
            </w:pPr>
            <w:r w:rsidRPr="00966BD4">
              <w:t> </w:t>
            </w:r>
          </w:p>
        </w:tc>
      </w:tr>
    </w:tbl>
    <w:p w14:paraId="6143E26E" w14:textId="13BD79EA" w:rsidR="00D907F8" w:rsidRPr="00966BD4" w:rsidRDefault="00D907F8" w:rsidP="00F23850">
      <w:pPr>
        <w:pStyle w:val="ChartandTableFootnoteAlpha"/>
        <w:numPr>
          <w:ilvl w:val="0"/>
          <w:numId w:val="7"/>
        </w:numPr>
        <w:spacing w:before="0" w:line="160" w:lineRule="exact"/>
        <w:rPr>
          <w:color w:val="auto"/>
        </w:rPr>
      </w:pPr>
      <w:r w:rsidRPr="00966BD4">
        <w:rPr>
          <w:color w:val="auto"/>
        </w:rPr>
        <w:t xml:space="preserve">Current prices, per cent change on previous year. Changes since </w:t>
      </w:r>
      <w:r w:rsidR="006F7031" w:rsidRPr="00966BD4">
        <w:rPr>
          <w:color w:val="auto"/>
        </w:rPr>
        <w:t>October Budget</w:t>
      </w:r>
      <w:r w:rsidRPr="00966BD4">
        <w:rPr>
          <w:color w:val="auto"/>
        </w:rPr>
        <w:t xml:space="preserve"> are percentage points.</w:t>
      </w:r>
    </w:p>
    <w:p w14:paraId="04526E88" w14:textId="77777777" w:rsidR="00D907F8" w:rsidRPr="00966BD4" w:rsidRDefault="00D907F8" w:rsidP="00867B3E">
      <w:pPr>
        <w:pStyle w:val="ChartandTableFootnoteAlpha"/>
        <w:spacing w:before="0" w:line="160" w:lineRule="exact"/>
        <w:rPr>
          <w:color w:val="auto"/>
        </w:rPr>
      </w:pPr>
      <w:r w:rsidRPr="00966BD4">
        <w:rPr>
          <w:color w:val="auto"/>
        </w:rPr>
        <w:t>Compensation of employees measures total remuneration earned by employees.</w:t>
      </w:r>
    </w:p>
    <w:p w14:paraId="6966FF57" w14:textId="77777777" w:rsidR="00D907F8" w:rsidRPr="00966BD4" w:rsidRDefault="00D907F8" w:rsidP="00867B3E">
      <w:pPr>
        <w:pStyle w:val="ChartandTableFootnoteAlpha"/>
        <w:spacing w:before="0" w:line="160" w:lineRule="exact"/>
        <w:rPr>
          <w:color w:val="auto"/>
        </w:rPr>
      </w:pPr>
      <w:r w:rsidRPr="00966BD4">
        <w:rPr>
          <w:color w:val="auto"/>
        </w:rPr>
        <w:t>Corporate gross operating surplus is an Australian System of National Accounts measure of company profits, gross of depreciation.</w:t>
      </w:r>
    </w:p>
    <w:p w14:paraId="2F5EA5B1" w14:textId="30119339" w:rsidR="00D907F8" w:rsidRPr="00966BD4" w:rsidRDefault="00D907F8" w:rsidP="00867B3E">
      <w:pPr>
        <w:pStyle w:val="ChartandTableFootnoteAlpha"/>
        <w:spacing w:before="0" w:line="160" w:lineRule="exact"/>
        <w:rPr>
          <w:color w:val="auto"/>
        </w:rPr>
      </w:pPr>
      <w:r w:rsidRPr="00966BD4">
        <w:rPr>
          <w:color w:val="auto"/>
        </w:rPr>
        <w:t>Property income measures income derived from rent, dividends and interest.</w:t>
      </w:r>
    </w:p>
    <w:p w14:paraId="5D073F28" w14:textId="4084BAEB" w:rsidR="00D907F8" w:rsidRPr="00966BD4" w:rsidRDefault="00D907F8" w:rsidP="00867B3E">
      <w:pPr>
        <w:pStyle w:val="ChartandTableFootnote"/>
        <w:spacing w:before="0" w:line="160" w:lineRule="exact"/>
        <w:rPr>
          <w:color w:val="auto"/>
        </w:rPr>
      </w:pPr>
      <w:r w:rsidRPr="00966BD4">
        <w:rPr>
          <w:color w:val="auto"/>
        </w:rPr>
        <w:t xml:space="preserve">Source: </w:t>
      </w:r>
      <w:r w:rsidRPr="00966BD4">
        <w:rPr>
          <w:color w:val="auto"/>
        </w:rPr>
        <w:tab/>
        <w:t>ABS Australian National Accounts: National Income, Expenditure and Product, and Treasury</w:t>
      </w:r>
      <w:r w:rsidR="00552B7C" w:rsidRPr="00966BD4">
        <w:rPr>
          <w:color w:val="auto"/>
        </w:rPr>
        <w:t>.</w:t>
      </w:r>
    </w:p>
    <w:p w14:paraId="7A0EC2C9" w14:textId="38361451" w:rsidR="00D907F8" w:rsidRPr="00E0267E" w:rsidRDefault="00D907F8" w:rsidP="00774E24">
      <w:pPr>
        <w:pStyle w:val="TableLine"/>
      </w:pPr>
    </w:p>
    <w:p w14:paraId="23539062" w14:textId="59C3663D" w:rsidR="00D907F8" w:rsidRPr="00966BD4" w:rsidRDefault="00D907F8" w:rsidP="00774E24">
      <w:r w:rsidRPr="00966BD4">
        <w:lastRenderedPageBreak/>
        <w:t>Changes in the outlook for individual heads of revenue are explained in more detail below.</w:t>
      </w:r>
    </w:p>
    <w:p w14:paraId="159542D5" w14:textId="77777777" w:rsidR="00D907F8" w:rsidRPr="00966BD4" w:rsidRDefault="00D907F8" w:rsidP="00D907F8">
      <w:pPr>
        <w:pStyle w:val="Heading4"/>
      </w:pPr>
      <w:r w:rsidRPr="00966BD4">
        <w:t xml:space="preserve">Individuals and other withholding taxes </w:t>
      </w:r>
    </w:p>
    <w:p w14:paraId="1A31A24C" w14:textId="0D3325F8" w:rsidR="00D907F8" w:rsidRPr="00966BD4" w:rsidRDefault="00D907F8" w:rsidP="00774E24">
      <w:pPr>
        <w:rPr>
          <w:sz w:val="22"/>
        </w:rPr>
      </w:pPr>
      <w:r w:rsidRPr="00966BD4">
        <w:t xml:space="preserve">Since </w:t>
      </w:r>
      <w:r w:rsidR="007B075B" w:rsidRPr="00966BD4">
        <w:t>the October Budget</w:t>
      </w:r>
      <w:r w:rsidRPr="00966BD4">
        <w:t>, total individuals and other withholding tax receipts have been revised up by $</w:t>
      </w:r>
      <w:r w:rsidR="00E34693" w:rsidRPr="00966BD4">
        <w:t>15.0</w:t>
      </w:r>
      <w:r w:rsidRPr="00966BD4">
        <w:t> billion in 202</w:t>
      </w:r>
      <w:r w:rsidR="007B075B" w:rsidRPr="00966BD4">
        <w:t>3</w:t>
      </w:r>
      <w:r w:rsidRPr="00966BD4">
        <w:t>–2</w:t>
      </w:r>
      <w:r w:rsidR="007B075B" w:rsidRPr="00966BD4">
        <w:t>4</w:t>
      </w:r>
      <w:r w:rsidRPr="00966BD4">
        <w:t xml:space="preserve"> and $</w:t>
      </w:r>
      <w:r w:rsidR="00C90F55" w:rsidRPr="00966BD4">
        <w:t>7</w:t>
      </w:r>
      <w:r w:rsidR="000D5B78" w:rsidRPr="00966BD4">
        <w:t>4.1</w:t>
      </w:r>
      <w:r w:rsidR="00D548EF" w:rsidRPr="00966BD4">
        <w:t xml:space="preserve"> </w:t>
      </w:r>
      <w:r w:rsidRPr="00966BD4">
        <w:t xml:space="preserve">billion over the </w:t>
      </w:r>
      <w:r w:rsidR="00514841" w:rsidRPr="00966BD4">
        <w:t>5</w:t>
      </w:r>
      <w:r w:rsidRPr="00966BD4">
        <w:t xml:space="preserve"> years </w:t>
      </w:r>
      <w:r w:rsidR="00AF06A4" w:rsidRPr="00966BD4">
        <w:t>from 202</w:t>
      </w:r>
      <w:r w:rsidR="00825B55" w:rsidRPr="00966BD4">
        <w:t>2–2</w:t>
      </w:r>
      <w:r w:rsidR="00AF06A4" w:rsidRPr="00966BD4">
        <w:t xml:space="preserve">3 </w:t>
      </w:r>
      <w:r w:rsidRPr="00966BD4">
        <w:t>to 202</w:t>
      </w:r>
      <w:r w:rsidR="007B075B" w:rsidRPr="00966BD4">
        <w:t>6</w:t>
      </w:r>
      <w:r w:rsidRPr="00966BD4">
        <w:t>–2</w:t>
      </w:r>
      <w:r w:rsidR="007B075B" w:rsidRPr="00966BD4">
        <w:t>7</w:t>
      </w:r>
      <w:r w:rsidRPr="00966BD4">
        <w:t>. Year</w:t>
      </w:r>
      <w:r w:rsidR="001B77CF">
        <w:noBreakHyphen/>
      </w:r>
      <w:r w:rsidRPr="00966BD4">
        <w:t>on</w:t>
      </w:r>
      <w:r w:rsidR="001B77CF">
        <w:noBreakHyphen/>
      </w:r>
      <w:r w:rsidRPr="00966BD4">
        <w:t xml:space="preserve">year, individuals and other withholding tax receipts are expected to grow by </w:t>
      </w:r>
      <w:r w:rsidR="00686C2A" w:rsidRPr="00966BD4">
        <w:t>7.5</w:t>
      </w:r>
      <w:r w:rsidRPr="00966BD4">
        <w:t> per cent in 202</w:t>
      </w:r>
      <w:r w:rsidR="008F618D" w:rsidRPr="00966BD4">
        <w:t>3</w:t>
      </w:r>
      <w:r w:rsidRPr="00966BD4">
        <w:t>–2</w:t>
      </w:r>
      <w:r w:rsidR="008F618D" w:rsidRPr="00966BD4">
        <w:t>4</w:t>
      </w:r>
      <w:r w:rsidRPr="00966BD4">
        <w:t xml:space="preserve"> and </w:t>
      </w:r>
      <w:r w:rsidR="00882A66" w:rsidRPr="00966BD4">
        <w:t xml:space="preserve">fall </w:t>
      </w:r>
      <w:r w:rsidRPr="00966BD4">
        <w:t xml:space="preserve">by </w:t>
      </w:r>
      <w:r w:rsidR="00686C2A" w:rsidRPr="00966BD4">
        <w:t>1.9</w:t>
      </w:r>
      <w:r w:rsidRPr="00966BD4">
        <w:t> per cent in 202</w:t>
      </w:r>
      <w:r w:rsidR="002D4AE1" w:rsidRPr="00966BD4">
        <w:t>4</w:t>
      </w:r>
      <w:r w:rsidRPr="00966BD4">
        <w:t>–2</w:t>
      </w:r>
      <w:r w:rsidR="002D4AE1" w:rsidRPr="00966BD4">
        <w:t>5</w:t>
      </w:r>
      <w:r w:rsidR="00844B38" w:rsidRPr="00966BD4">
        <w:t>.</w:t>
      </w:r>
    </w:p>
    <w:p w14:paraId="4CF77B5E" w14:textId="5A4E6C6E" w:rsidR="000768A8" w:rsidRPr="00966BD4" w:rsidRDefault="00D907F8" w:rsidP="00774E24">
      <w:r w:rsidRPr="00966BD4">
        <w:t>Excluding new policy decisions, individuals and other withholding tax receipts have been revised up by $</w:t>
      </w:r>
      <w:r w:rsidR="007F0CA0" w:rsidRPr="00966BD4">
        <w:t>15.4</w:t>
      </w:r>
      <w:r w:rsidRPr="00966BD4">
        <w:t> billion in 202</w:t>
      </w:r>
      <w:r w:rsidR="006C0434" w:rsidRPr="00966BD4">
        <w:t>3</w:t>
      </w:r>
      <w:r w:rsidRPr="00966BD4">
        <w:t>–2</w:t>
      </w:r>
      <w:r w:rsidR="006C0434" w:rsidRPr="00966BD4">
        <w:t>4</w:t>
      </w:r>
      <w:r w:rsidRPr="00966BD4">
        <w:t xml:space="preserve"> and $</w:t>
      </w:r>
      <w:r w:rsidR="00E52FE5" w:rsidRPr="00966BD4">
        <w:t>68.9</w:t>
      </w:r>
      <w:r w:rsidRPr="00966BD4">
        <w:t xml:space="preserve"> billion in the </w:t>
      </w:r>
      <w:r w:rsidR="00514841" w:rsidRPr="00966BD4">
        <w:t>5</w:t>
      </w:r>
      <w:r w:rsidRPr="00966BD4">
        <w:t xml:space="preserve"> years </w:t>
      </w:r>
      <w:r w:rsidR="00AF06A4" w:rsidRPr="00966BD4">
        <w:t>from 202</w:t>
      </w:r>
      <w:r w:rsidR="00825B55" w:rsidRPr="00966BD4">
        <w:t>2–2</w:t>
      </w:r>
      <w:r w:rsidR="00AF06A4" w:rsidRPr="00966BD4">
        <w:t xml:space="preserve">3 </w:t>
      </w:r>
      <w:r w:rsidRPr="00966BD4">
        <w:t>to </w:t>
      </w:r>
      <w:r w:rsidR="00867B3E" w:rsidRPr="00966BD4">
        <w:br/>
      </w:r>
      <w:r w:rsidR="00825B55" w:rsidRPr="00966BD4">
        <w:t>2026–27</w:t>
      </w:r>
      <w:r w:rsidRPr="00966BD4">
        <w:t xml:space="preserve">. </w:t>
      </w:r>
    </w:p>
    <w:p w14:paraId="400F47A3" w14:textId="5263ED9B" w:rsidR="00AC7F49" w:rsidRPr="00966BD4" w:rsidRDefault="002F3508" w:rsidP="00774E24">
      <w:r w:rsidRPr="00966BD4">
        <w:t>Income tax withholding (tax on salary and wages) has been revised up by $</w:t>
      </w:r>
      <w:r w:rsidR="003B6BD7" w:rsidRPr="00966BD4">
        <w:t>1</w:t>
      </w:r>
      <w:r w:rsidR="00835C28" w:rsidRPr="00966BD4">
        <w:t>0.8</w:t>
      </w:r>
      <w:r w:rsidRPr="00966BD4">
        <w:t xml:space="preserve"> billion in 2023</w:t>
      </w:r>
      <w:r w:rsidR="00D71E98" w:rsidRPr="00966BD4">
        <w:t>–</w:t>
      </w:r>
      <w:r w:rsidRPr="00966BD4">
        <w:t>24 and $</w:t>
      </w:r>
      <w:r w:rsidR="00BF12FF" w:rsidRPr="00966BD4">
        <w:t>48.3</w:t>
      </w:r>
      <w:r w:rsidRPr="00966BD4">
        <w:t xml:space="preserve"> billion over the 5 years </w:t>
      </w:r>
      <w:r w:rsidR="00AF06A4" w:rsidRPr="00966BD4">
        <w:t>from 202</w:t>
      </w:r>
      <w:r w:rsidR="00825B55" w:rsidRPr="00966BD4">
        <w:t>2–2</w:t>
      </w:r>
      <w:r w:rsidR="00AF06A4" w:rsidRPr="00966BD4">
        <w:t xml:space="preserve">3 </w:t>
      </w:r>
      <w:r w:rsidRPr="00966BD4">
        <w:t>to 2026</w:t>
      </w:r>
      <w:r w:rsidR="00D71E98" w:rsidRPr="00966BD4">
        <w:t>–</w:t>
      </w:r>
      <w:r w:rsidRPr="00966BD4">
        <w:t>27</w:t>
      </w:r>
      <w:r w:rsidR="00835C28" w:rsidRPr="00966BD4">
        <w:t xml:space="preserve"> excluding policy decisions</w:t>
      </w:r>
      <w:r w:rsidRPr="00966BD4">
        <w:t xml:space="preserve">. This reflects strength in </w:t>
      </w:r>
      <w:r w:rsidR="009001F3" w:rsidRPr="00966BD4">
        <w:t>year</w:t>
      </w:r>
      <w:r w:rsidR="001B77CF">
        <w:noBreakHyphen/>
      </w:r>
      <w:r w:rsidR="009001F3" w:rsidRPr="00966BD4">
        <w:t>to</w:t>
      </w:r>
      <w:r w:rsidR="001B77CF">
        <w:noBreakHyphen/>
      </w:r>
      <w:r w:rsidR="009001F3" w:rsidRPr="00966BD4">
        <w:t>date collections</w:t>
      </w:r>
      <w:r w:rsidR="00FE5B11" w:rsidRPr="00966BD4">
        <w:t xml:space="preserve"> </w:t>
      </w:r>
      <w:r w:rsidR="007F4E2D" w:rsidRPr="00966BD4">
        <w:t>from all withholders</w:t>
      </w:r>
      <w:r w:rsidR="00285F22" w:rsidRPr="00966BD4">
        <w:t xml:space="preserve"> </w:t>
      </w:r>
      <w:r w:rsidR="002527D5" w:rsidRPr="00966BD4">
        <w:t>reflecting</w:t>
      </w:r>
      <w:r w:rsidR="00285F22" w:rsidRPr="00966BD4">
        <w:t xml:space="preserve"> </w:t>
      </w:r>
      <w:r w:rsidR="00975023" w:rsidRPr="00966BD4">
        <w:t xml:space="preserve">higher employment </w:t>
      </w:r>
      <w:r w:rsidR="00CA2461" w:rsidRPr="00966BD4">
        <w:t>and a pick</w:t>
      </w:r>
      <w:r w:rsidR="001B77CF">
        <w:noBreakHyphen/>
      </w:r>
      <w:r w:rsidR="00CA2461" w:rsidRPr="00966BD4">
        <w:t>up in wage</w:t>
      </w:r>
      <w:r w:rsidR="009459A2" w:rsidRPr="00966BD4">
        <w:t>s</w:t>
      </w:r>
      <w:r w:rsidR="00CA2461" w:rsidRPr="00966BD4">
        <w:t xml:space="preserve"> growth</w:t>
      </w:r>
      <w:r w:rsidR="00285F22" w:rsidRPr="00966BD4">
        <w:t xml:space="preserve">. </w:t>
      </w:r>
      <w:r w:rsidR="00F871FE" w:rsidRPr="00966BD4">
        <w:t xml:space="preserve">Strength is expected to continue over the forward estimates, in line with </w:t>
      </w:r>
      <w:r w:rsidR="00ED30C5" w:rsidRPr="00966BD4">
        <w:t xml:space="preserve">employment </w:t>
      </w:r>
      <w:r w:rsidR="00967200" w:rsidRPr="00966BD4">
        <w:t>and nominal wage growth</w:t>
      </w:r>
      <w:r w:rsidR="00E06EE4" w:rsidRPr="00966BD4">
        <w:t xml:space="preserve">, although this </w:t>
      </w:r>
      <w:r w:rsidR="00325A3B">
        <w:br/>
      </w:r>
      <w:r w:rsidR="00E06EE4" w:rsidRPr="00966BD4">
        <w:t>is expected to moderate as conditions in the labour market ease</w:t>
      </w:r>
      <w:r w:rsidR="00967200" w:rsidRPr="00966BD4">
        <w:t xml:space="preserve">. </w:t>
      </w:r>
    </w:p>
    <w:p w14:paraId="4044F278" w14:textId="1C65A980" w:rsidR="00D614CA" w:rsidRPr="00966BD4" w:rsidRDefault="00A63CF2" w:rsidP="00774E24">
      <w:r w:rsidRPr="00966BD4">
        <w:t>Net other individuals</w:t>
      </w:r>
      <w:r w:rsidR="00D614CA" w:rsidRPr="00966BD4">
        <w:t xml:space="preserve"> has been revised up by $</w:t>
      </w:r>
      <w:r w:rsidR="00225F7F" w:rsidRPr="00966BD4">
        <w:t>4.6</w:t>
      </w:r>
      <w:r w:rsidR="00D614CA" w:rsidRPr="00966BD4">
        <w:t xml:space="preserve"> billion in 2023</w:t>
      </w:r>
      <w:r w:rsidR="00D71E98" w:rsidRPr="00966BD4">
        <w:t>–</w:t>
      </w:r>
      <w:r w:rsidR="00D614CA" w:rsidRPr="00966BD4">
        <w:t>24 and $</w:t>
      </w:r>
      <w:r w:rsidR="00FB5025" w:rsidRPr="00966BD4">
        <w:t>20.6</w:t>
      </w:r>
      <w:r w:rsidR="00D614CA" w:rsidRPr="00966BD4">
        <w:t xml:space="preserve"> billion over the 5 years </w:t>
      </w:r>
      <w:r w:rsidR="00AF06A4" w:rsidRPr="00966BD4">
        <w:t>from 202</w:t>
      </w:r>
      <w:r w:rsidR="00825B55" w:rsidRPr="00966BD4">
        <w:t>2–2</w:t>
      </w:r>
      <w:r w:rsidR="00AF06A4" w:rsidRPr="00966BD4">
        <w:t xml:space="preserve">3 </w:t>
      </w:r>
      <w:r w:rsidR="00D614CA" w:rsidRPr="00966BD4">
        <w:t>to 2026</w:t>
      </w:r>
      <w:r w:rsidR="00D71E98" w:rsidRPr="00966BD4">
        <w:t>–</w:t>
      </w:r>
      <w:r w:rsidR="00D614CA" w:rsidRPr="00966BD4">
        <w:t>27</w:t>
      </w:r>
      <w:r w:rsidR="00FB5025" w:rsidRPr="00966BD4">
        <w:t xml:space="preserve"> excluding policy decisions</w:t>
      </w:r>
      <w:r w:rsidR="00D614CA" w:rsidRPr="00966BD4">
        <w:t>.</w:t>
      </w:r>
      <w:r w:rsidR="00EA7088" w:rsidRPr="00966BD4">
        <w:t xml:space="preserve"> In the near</w:t>
      </w:r>
      <w:r w:rsidR="001B77CF">
        <w:noBreakHyphen/>
      </w:r>
      <w:r w:rsidR="00EA7088" w:rsidRPr="00966BD4">
        <w:t xml:space="preserve">term this reflects strength in </w:t>
      </w:r>
      <w:r w:rsidR="00D17FAB" w:rsidRPr="00966BD4">
        <w:t xml:space="preserve">collections from </w:t>
      </w:r>
      <w:r w:rsidR="000620E9" w:rsidRPr="00966BD4">
        <w:t xml:space="preserve">the </w:t>
      </w:r>
      <w:r w:rsidR="00F67E70" w:rsidRPr="00966BD4">
        <w:t>lodgement</w:t>
      </w:r>
      <w:r w:rsidR="004B40D5" w:rsidRPr="00966BD4">
        <w:t xml:space="preserve"> </w:t>
      </w:r>
      <w:r w:rsidR="003827B5" w:rsidRPr="00966BD4">
        <w:t>of 20</w:t>
      </w:r>
      <w:r w:rsidR="007B25CB" w:rsidRPr="00966BD4">
        <w:t>21</w:t>
      </w:r>
      <w:r w:rsidR="00D71E98" w:rsidRPr="00966BD4">
        <w:t>–</w:t>
      </w:r>
      <w:r w:rsidR="007B25CB" w:rsidRPr="00966BD4">
        <w:t xml:space="preserve">22 income year returns, </w:t>
      </w:r>
      <w:r w:rsidR="007B1115" w:rsidRPr="00966BD4">
        <w:t>in particular</w:t>
      </w:r>
      <w:r w:rsidR="000E1D71" w:rsidRPr="00966BD4">
        <w:t xml:space="preserve"> strength in capital gains and net rent.</w:t>
      </w:r>
      <w:r w:rsidR="00D614CA" w:rsidRPr="00966BD4">
        <w:t xml:space="preserve"> </w:t>
      </w:r>
      <w:r w:rsidR="00D41967" w:rsidRPr="00966BD4">
        <w:t xml:space="preserve">The outlook for </w:t>
      </w:r>
      <w:r w:rsidR="00DB22D1" w:rsidRPr="00966BD4">
        <w:t xml:space="preserve">net other individuals </w:t>
      </w:r>
      <w:r w:rsidR="00C10CB3">
        <w:br/>
      </w:r>
      <w:r w:rsidR="004D64D8" w:rsidRPr="00966BD4">
        <w:t xml:space="preserve">has also been revised higher, </w:t>
      </w:r>
      <w:r w:rsidR="00996B8E" w:rsidRPr="00966BD4">
        <w:t xml:space="preserve">reflecting </w:t>
      </w:r>
      <w:r w:rsidR="00FC45F3" w:rsidRPr="00966BD4">
        <w:t xml:space="preserve">higher </w:t>
      </w:r>
      <w:r w:rsidR="00BB30EA" w:rsidRPr="00966BD4">
        <w:t>non</w:t>
      </w:r>
      <w:r w:rsidR="001B77CF">
        <w:noBreakHyphen/>
      </w:r>
      <w:r w:rsidR="00BB30EA" w:rsidRPr="00966BD4">
        <w:t>farm gross mixed income, flowing to income from unincorporated businesses</w:t>
      </w:r>
      <w:r w:rsidR="00795CE8" w:rsidRPr="00966BD4">
        <w:t xml:space="preserve"> and upgraded property income growth</w:t>
      </w:r>
      <w:r w:rsidR="00BB30EA" w:rsidRPr="00966BD4">
        <w:t>.</w:t>
      </w:r>
      <w:r w:rsidR="00954EA0" w:rsidRPr="00966BD4">
        <w:t xml:space="preserve"> </w:t>
      </w:r>
      <w:r w:rsidR="002F64A6" w:rsidRPr="00966BD4">
        <w:t xml:space="preserve">Growth </w:t>
      </w:r>
      <w:r w:rsidR="00C10CB3">
        <w:br/>
      </w:r>
      <w:r w:rsidR="002F64A6" w:rsidRPr="00966BD4">
        <w:t xml:space="preserve">in property income is largely being driven by higher interest income on assets (such as </w:t>
      </w:r>
      <w:r w:rsidR="00C10CB3">
        <w:br/>
      </w:r>
      <w:r w:rsidR="002F64A6" w:rsidRPr="00966BD4">
        <w:t>term deposits), in line with the increase in interest rates.</w:t>
      </w:r>
    </w:p>
    <w:p w14:paraId="1921B2F5" w14:textId="45A022F7" w:rsidR="00CA4001" w:rsidRPr="00966BD4" w:rsidRDefault="00D907F8" w:rsidP="00774E24">
      <w:r w:rsidRPr="00966BD4">
        <w:t xml:space="preserve">New tax policy measures announced since </w:t>
      </w:r>
      <w:r w:rsidR="000A3247" w:rsidRPr="00966BD4">
        <w:t>the October Budget</w:t>
      </w:r>
      <w:r w:rsidRPr="00966BD4">
        <w:t xml:space="preserve"> are expected to </w:t>
      </w:r>
      <w:r w:rsidR="00CA4001" w:rsidRPr="00966BD4">
        <w:t>decrease individuals and other withholding tax receipts by $</w:t>
      </w:r>
      <w:r w:rsidR="004733DB" w:rsidRPr="00966BD4">
        <w:t>40</w:t>
      </w:r>
      <w:r w:rsidR="00045566" w:rsidRPr="00966BD4">
        <w:t>1</w:t>
      </w:r>
      <w:r w:rsidR="00BA3E27" w:rsidRPr="00966BD4">
        <w:t>.3</w:t>
      </w:r>
      <w:r w:rsidR="00CA4001" w:rsidRPr="00966BD4">
        <w:t xml:space="preserve"> million in </w:t>
      </w:r>
      <w:r w:rsidR="00825B55" w:rsidRPr="00966BD4">
        <w:t>2023–2</w:t>
      </w:r>
      <w:r w:rsidR="00CA4001" w:rsidRPr="00966BD4">
        <w:t xml:space="preserve">4 but </w:t>
      </w:r>
      <w:r w:rsidRPr="00966BD4">
        <w:t>increase</w:t>
      </w:r>
      <w:r w:rsidR="00CA4001" w:rsidRPr="00966BD4">
        <w:t xml:space="preserve"> individuals and other withholding tax receipts by $</w:t>
      </w:r>
      <w:r w:rsidR="00011675" w:rsidRPr="00966BD4">
        <w:t>5</w:t>
      </w:r>
      <w:r w:rsidR="00CA4001" w:rsidRPr="00966BD4">
        <w:t>.</w:t>
      </w:r>
      <w:r w:rsidR="0085430F" w:rsidRPr="00966BD4">
        <w:t>2</w:t>
      </w:r>
      <w:r w:rsidR="00CA4001" w:rsidRPr="00966BD4">
        <w:t xml:space="preserve"> billion over the </w:t>
      </w:r>
      <w:r w:rsidR="00825B55" w:rsidRPr="00966BD4">
        <w:t>5</w:t>
      </w:r>
      <w:r w:rsidR="00CA4001" w:rsidRPr="00966BD4">
        <w:t xml:space="preserve"> years </w:t>
      </w:r>
      <w:r w:rsidR="00640411" w:rsidRPr="00966BD4">
        <w:t>from 202</w:t>
      </w:r>
      <w:r w:rsidR="00825B55" w:rsidRPr="00966BD4">
        <w:t>2–2</w:t>
      </w:r>
      <w:r w:rsidR="00640411" w:rsidRPr="00966BD4">
        <w:t>3</w:t>
      </w:r>
      <w:r w:rsidR="00CA4001" w:rsidRPr="00966BD4">
        <w:t xml:space="preserve"> to </w:t>
      </w:r>
      <w:r w:rsidR="00825B55" w:rsidRPr="00966BD4">
        <w:t>2026–27</w:t>
      </w:r>
      <w:r w:rsidR="00CA4001" w:rsidRPr="00966BD4">
        <w:t>. This is largely driven by:</w:t>
      </w:r>
    </w:p>
    <w:p w14:paraId="3CDB14B4" w14:textId="204D8A67" w:rsidR="00CA4001" w:rsidRPr="00E0267E" w:rsidRDefault="00CA4001" w:rsidP="00774E24">
      <w:pPr>
        <w:pStyle w:val="Bullet"/>
      </w:pPr>
      <w:r w:rsidRPr="00966BD4">
        <w:t xml:space="preserve">The </w:t>
      </w:r>
      <w:r w:rsidRPr="00966BD4">
        <w:rPr>
          <w:i/>
        </w:rPr>
        <w:t>GST compliance program</w:t>
      </w:r>
      <w:r w:rsidR="009678D7" w:rsidRPr="00966BD4">
        <w:rPr>
          <w:i/>
        </w:rPr>
        <w:t xml:space="preserve"> – </w:t>
      </w:r>
      <w:r w:rsidRPr="00966BD4">
        <w:rPr>
          <w:i/>
        </w:rPr>
        <w:t>four</w:t>
      </w:r>
      <w:r w:rsidR="001B77CF">
        <w:rPr>
          <w:i/>
        </w:rPr>
        <w:noBreakHyphen/>
      </w:r>
      <w:r w:rsidRPr="00966BD4">
        <w:rPr>
          <w:i/>
        </w:rPr>
        <w:t>year extension</w:t>
      </w:r>
      <w:r w:rsidRPr="00966BD4">
        <w:t xml:space="preserve"> </w:t>
      </w:r>
      <w:r w:rsidR="00360407" w:rsidRPr="00966BD4">
        <w:t xml:space="preserve">measure </w:t>
      </w:r>
      <w:r w:rsidRPr="00966BD4">
        <w:t>which is estimated to increase individuals and other withholding tax receipts by $624</w:t>
      </w:r>
      <w:r w:rsidR="00E74E19" w:rsidRPr="00966BD4">
        <w:t>.1</w:t>
      </w:r>
      <w:r w:rsidRPr="00966BD4">
        <w:t xml:space="preserve"> million in </w:t>
      </w:r>
      <w:r w:rsidR="00825B55" w:rsidRPr="00966BD4">
        <w:t>2023–2</w:t>
      </w:r>
      <w:r w:rsidRPr="00966BD4">
        <w:t xml:space="preserve">4 and </w:t>
      </w:r>
      <w:r w:rsidR="00825B55" w:rsidRPr="00966BD4">
        <w:br/>
      </w:r>
      <w:r w:rsidRPr="00966BD4">
        <w:t xml:space="preserve">$2.9 billion over the </w:t>
      </w:r>
      <w:r w:rsidR="00825B55" w:rsidRPr="00966BD4">
        <w:t>5</w:t>
      </w:r>
      <w:r w:rsidRPr="00966BD4">
        <w:t xml:space="preserve"> years </w:t>
      </w:r>
      <w:r w:rsidR="0054299E" w:rsidRPr="00966BD4">
        <w:t>from 202</w:t>
      </w:r>
      <w:r w:rsidR="00825B55" w:rsidRPr="00966BD4">
        <w:t>2–2</w:t>
      </w:r>
      <w:r w:rsidR="0054299E" w:rsidRPr="00966BD4">
        <w:t>3</w:t>
      </w:r>
      <w:r w:rsidRPr="00966BD4">
        <w:t xml:space="preserve"> to </w:t>
      </w:r>
      <w:r w:rsidR="00825B55" w:rsidRPr="00966BD4">
        <w:t>2026–27</w:t>
      </w:r>
      <w:r w:rsidRPr="00966BD4">
        <w:t>.</w:t>
      </w:r>
    </w:p>
    <w:p w14:paraId="558EAE1E" w14:textId="554CCE89" w:rsidR="00CA4001" w:rsidRPr="00E0267E" w:rsidRDefault="00CA4001" w:rsidP="00774E24">
      <w:pPr>
        <w:pStyle w:val="Bullet"/>
      </w:pPr>
      <w:r w:rsidRPr="00966BD4">
        <w:t xml:space="preserve">The </w:t>
      </w:r>
      <w:r w:rsidRPr="00966BD4">
        <w:rPr>
          <w:i/>
        </w:rPr>
        <w:t>Small Business Support – $20,000 instant asset write</w:t>
      </w:r>
      <w:r w:rsidR="001B77CF">
        <w:rPr>
          <w:i/>
        </w:rPr>
        <w:noBreakHyphen/>
      </w:r>
      <w:r w:rsidRPr="00966BD4">
        <w:rPr>
          <w:i/>
        </w:rPr>
        <w:t>off</w:t>
      </w:r>
      <w:r w:rsidRPr="00966BD4">
        <w:t xml:space="preserve"> measure which is expected to have no impact in </w:t>
      </w:r>
      <w:r w:rsidR="00825B55" w:rsidRPr="00966BD4">
        <w:t>2023–2</w:t>
      </w:r>
      <w:r w:rsidRPr="00966BD4">
        <w:t>4 but to decrease individuals and other withholding tax receipts by $200</w:t>
      </w:r>
      <w:r w:rsidR="007D38CF" w:rsidRPr="00966BD4">
        <w:t>.0</w:t>
      </w:r>
      <w:r w:rsidRPr="00966BD4">
        <w:t xml:space="preserve"> million over the </w:t>
      </w:r>
      <w:r w:rsidR="00825B55" w:rsidRPr="00966BD4">
        <w:t>5</w:t>
      </w:r>
      <w:r w:rsidRPr="00966BD4">
        <w:t xml:space="preserve"> years </w:t>
      </w:r>
      <w:r w:rsidR="002A1801" w:rsidRPr="00966BD4">
        <w:t>from 202</w:t>
      </w:r>
      <w:r w:rsidR="00825B55" w:rsidRPr="00966BD4">
        <w:t>2–2</w:t>
      </w:r>
      <w:r w:rsidR="002A1801" w:rsidRPr="00966BD4">
        <w:t>3</w:t>
      </w:r>
      <w:r w:rsidRPr="00966BD4">
        <w:t xml:space="preserve"> to </w:t>
      </w:r>
      <w:r w:rsidR="00825B55" w:rsidRPr="00966BD4">
        <w:t>2026–27</w:t>
      </w:r>
      <w:r w:rsidRPr="00966BD4">
        <w:t>.</w:t>
      </w:r>
    </w:p>
    <w:p w14:paraId="5DBAAA9C" w14:textId="20B1E389" w:rsidR="00CA4001" w:rsidRPr="00E0267E" w:rsidRDefault="00CA4001" w:rsidP="00774E24">
      <w:pPr>
        <w:pStyle w:val="Bullet"/>
      </w:pPr>
      <w:r w:rsidRPr="00966BD4">
        <w:t xml:space="preserve">The measure </w:t>
      </w:r>
      <w:r w:rsidR="00E42163" w:rsidRPr="00966BD4">
        <w:rPr>
          <w:i/>
        </w:rPr>
        <w:t>Small Business Support</w:t>
      </w:r>
      <w:r w:rsidR="00A63865" w:rsidRPr="00966BD4">
        <w:rPr>
          <w:i/>
        </w:rPr>
        <w:t>—h</w:t>
      </w:r>
      <w:r w:rsidRPr="00966BD4">
        <w:rPr>
          <w:i/>
        </w:rPr>
        <w:t>elpin</w:t>
      </w:r>
      <w:r w:rsidR="00A63865" w:rsidRPr="00966BD4">
        <w:rPr>
          <w:i/>
        </w:rPr>
        <w:t>g</w:t>
      </w:r>
      <w:r w:rsidRPr="00966BD4">
        <w:rPr>
          <w:i/>
        </w:rPr>
        <w:t xml:space="preserve"> small business manage their tax instalments and improving cashflow</w:t>
      </w:r>
      <w:r w:rsidRPr="00966BD4">
        <w:t xml:space="preserve"> which is expected to decrease individuals and other withholding tax receipts by $1.0</w:t>
      </w:r>
      <w:r w:rsidR="001E45A9" w:rsidRPr="00966BD4">
        <w:t> </w:t>
      </w:r>
      <w:r w:rsidRPr="00966BD4">
        <w:t>billion in 2023</w:t>
      </w:r>
      <w:r w:rsidR="00825B55" w:rsidRPr="00966BD4">
        <w:rPr>
          <w:rFonts w:ascii="Calibri" w:hAnsi="Calibri" w:cs="Calibri"/>
        </w:rPr>
        <w:t>–</w:t>
      </w:r>
      <w:r w:rsidRPr="00966BD4">
        <w:t xml:space="preserve">24 </w:t>
      </w:r>
      <w:r w:rsidR="003828F9" w:rsidRPr="00966BD4">
        <w:t xml:space="preserve">but have </w:t>
      </w:r>
      <w:r w:rsidR="00805D5B" w:rsidRPr="00966BD4">
        <w:t xml:space="preserve">no </w:t>
      </w:r>
      <w:r w:rsidR="005544CF" w:rsidRPr="00966BD4">
        <w:t xml:space="preserve">net </w:t>
      </w:r>
      <w:r w:rsidR="003D04E0" w:rsidRPr="00966BD4">
        <w:t>impact on receipts</w:t>
      </w:r>
      <w:r w:rsidRPr="00966BD4">
        <w:t xml:space="preserve"> over the </w:t>
      </w:r>
      <w:r w:rsidR="00825B55" w:rsidRPr="00966BD4">
        <w:t>5</w:t>
      </w:r>
      <w:r w:rsidRPr="00966BD4">
        <w:t xml:space="preserve"> years </w:t>
      </w:r>
      <w:r w:rsidR="0045173D" w:rsidRPr="00966BD4">
        <w:t>from 2022</w:t>
      </w:r>
      <w:r w:rsidR="00825B55" w:rsidRPr="00966BD4">
        <w:rPr>
          <w:rFonts w:ascii="Calibri" w:hAnsi="Calibri" w:cs="Calibri"/>
        </w:rPr>
        <w:t>–</w:t>
      </w:r>
      <w:r w:rsidR="0045173D" w:rsidRPr="00966BD4">
        <w:t>23</w:t>
      </w:r>
      <w:r w:rsidRPr="00966BD4">
        <w:t xml:space="preserve"> to 2026</w:t>
      </w:r>
      <w:r w:rsidR="00825B55" w:rsidRPr="00966BD4">
        <w:rPr>
          <w:rFonts w:ascii="Calibri" w:hAnsi="Calibri" w:cs="Calibri"/>
        </w:rPr>
        <w:t>–</w:t>
      </w:r>
      <w:r w:rsidRPr="00966BD4">
        <w:t>27.</w:t>
      </w:r>
    </w:p>
    <w:p w14:paraId="360FABFE" w14:textId="374CA374" w:rsidR="00D907F8" w:rsidRPr="00966BD4" w:rsidRDefault="00D907F8" w:rsidP="00D907F8">
      <w:pPr>
        <w:pStyle w:val="Heading4"/>
      </w:pPr>
      <w:bookmarkStart w:id="21" w:name="_Toc512338381"/>
      <w:bookmarkStart w:id="22" w:name="_Toc67658748"/>
      <w:bookmarkStart w:id="23" w:name="_Hlk115166590"/>
      <w:r w:rsidRPr="00966BD4">
        <w:lastRenderedPageBreak/>
        <w:t>Fringe benefits tax</w:t>
      </w:r>
      <w:bookmarkEnd w:id="21"/>
      <w:bookmarkEnd w:id="22"/>
    </w:p>
    <w:p w14:paraId="12461268" w14:textId="6243A4BE" w:rsidR="00D907F8" w:rsidRPr="00966BD4" w:rsidRDefault="00D907F8" w:rsidP="00774E24">
      <w:r w:rsidRPr="00966BD4">
        <w:t xml:space="preserve">Since </w:t>
      </w:r>
      <w:r w:rsidR="00DB57CE" w:rsidRPr="00966BD4">
        <w:t>the October Budget</w:t>
      </w:r>
      <w:r w:rsidRPr="00966BD4">
        <w:t xml:space="preserve">, fringe benefits tax receipts have been revised </w:t>
      </w:r>
      <w:r w:rsidR="00271330" w:rsidRPr="00966BD4">
        <w:t>up</w:t>
      </w:r>
      <w:r w:rsidRPr="00966BD4">
        <w:t xml:space="preserve"> by $</w:t>
      </w:r>
      <w:r w:rsidR="003D1CCD" w:rsidRPr="00966BD4">
        <w:t>30</w:t>
      </w:r>
      <w:r w:rsidR="00BB04F8" w:rsidRPr="00966BD4">
        <w:t>.0</w:t>
      </w:r>
      <w:r w:rsidR="00684E05" w:rsidRPr="00966BD4">
        <w:rPr>
          <w:rFonts w:ascii="Times New Roman" w:hAnsi="Times New Roman"/>
        </w:rPr>
        <w:t> </w:t>
      </w:r>
      <w:r w:rsidR="00684E05" w:rsidRPr="00966BD4">
        <w:t xml:space="preserve">million </w:t>
      </w:r>
      <w:r w:rsidRPr="00966BD4">
        <w:t>in 202</w:t>
      </w:r>
      <w:r w:rsidR="00DB57CE" w:rsidRPr="00966BD4">
        <w:t>3</w:t>
      </w:r>
      <w:r w:rsidRPr="00966BD4">
        <w:t>–2</w:t>
      </w:r>
      <w:r w:rsidR="00DB57CE" w:rsidRPr="00966BD4">
        <w:t>4</w:t>
      </w:r>
      <w:r w:rsidRPr="00966BD4">
        <w:rPr>
          <w:rFonts w:ascii="Times New Roman" w:hAnsi="Times New Roman"/>
        </w:rPr>
        <w:t> </w:t>
      </w:r>
      <w:r w:rsidRPr="00966BD4">
        <w:t>and $</w:t>
      </w:r>
      <w:r w:rsidR="00F06650" w:rsidRPr="00966BD4">
        <w:t>260</w:t>
      </w:r>
      <w:r w:rsidR="00BB04F8" w:rsidRPr="00966BD4">
        <w:t>.0</w:t>
      </w:r>
      <w:r w:rsidRPr="00966BD4">
        <w:rPr>
          <w:rFonts w:ascii="Times New Roman" w:hAnsi="Times New Roman"/>
        </w:rPr>
        <w:t> </w:t>
      </w:r>
      <w:r w:rsidR="00F06650" w:rsidRPr="00966BD4">
        <w:t>m</w:t>
      </w:r>
      <w:r w:rsidRPr="00966BD4">
        <w:t xml:space="preserve">illion over the </w:t>
      </w:r>
      <w:r w:rsidR="00481935" w:rsidRPr="00966BD4">
        <w:t>5</w:t>
      </w:r>
      <w:r w:rsidRPr="00966BD4">
        <w:t xml:space="preserve"> years </w:t>
      </w:r>
      <w:r w:rsidR="00900A7C" w:rsidRPr="00966BD4">
        <w:t>from 2022</w:t>
      </w:r>
      <w:r w:rsidR="00825B55" w:rsidRPr="00966BD4">
        <w:rPr>
          <w:rFonts w:ascii="Calibri" w:hAnsi="Calibri" w:cs="Calibri"/>
        </w:rPr>
        <w:t>–</w:t>
      </w:r>
      <w:r w:rsidR="00900A7C" w:rsidRPr="00966BD4">
        <w:t xml:space="preserve">23 </w:t>
      </w:r>
      <w:r w:rsidRPr="00966BD4">
        <w:t>to 202</w:t>
      </w:r>
      <w:r w:rsidR="00DB57CE" w:rsidRPr="00966BD4">
        <w:t>6</w:t>
      </w:r>
      <w:r w:rsidRPr="00966BD4">
        <w:t>–2</w:t>
      </w:r>
      <w:r w:rsidR="00DB57CE" w:rsidRPr="00966BD4">
        <w:t>7</w:t>
      </w:r>
      <w:r w:rsidRPr="00966BD4">
        <w:t xml:space="preserve">. </w:t>
      </w:r>
      <w:r w:rsidR="008D1C2A" w:rsidRPr="00966BD4">
        <w:t xml:space="preserve">This </w:t>
      </w:r>
      <w:r w:rsidRPr="00966BD4">
        <w:t xml:space="preserve">reflects </w:t>
      </w:r>
      <w:r w:rsidR="00622B84" w:rsidRPr="00966BD4">
        <w:t>an improvement</w:t>
      </w:r>
      <w:r w:rsidR="009F406D" w:rsidRPr="00966BD4">
        <w:t xml:space="preserve"> </w:t>
      </w:r>
      <w:r w:rsidR="00AE5A9C" w:rsidRPr="00966BD4">
        <w:t xml:space="preserve">in </w:t>
      </w:r>
      <w:r w:rsidR="009F406D" w:rsidRPr="00966BD4">
        <w:t xml:space="preserve">the </w:t>
      </w:r>
      <w:r w:rsidR="00034A17" w:rsidRPr="00966BD4">
        <w:t xml:space="preserve">outlook </w:t>
      </w:r>
      <w:r w:rsidR="008D1C2A" w:rsidRPr="00966BD4">
        <w:t>for</w:t>
      </w:r>
      <w:r w:rsidR="00034A17" w:rsidRPr="00966BD4">
        <w:t xml:space="preserve"> the labour market. </w:t>
      </w:r>
    </w:p>
    <w:p w14:paraId="253CDF2C" w14:textId="36B4206C" w:rsidR="00D907F8" w:rsidRPr="00E0267E" w:rsidRDefault="00D907F8" w:rsidP="00774E24">
      <w:r w:rsidRPr="00966BD4">
        <w:t xml:space="preserve">New tax policy measures announced since </w:t>
      </w:r>
      <w:r w:rsidR="000F7673" w:rsidRPr="00966BD4">
        <w:t>the October Budget</w:t>
      </w:r>
      <w:r w:rsidRPr="00966BD4">
        <w:t xml:space="preserve"> are expected to </w:t>
      </w:r>
      <w:r w:rsidR="00B941F6" w:rsidRPr="00966BD4">
        <w:t xml:space="preserve">increase </w:t>
      </w:r>
      <w:r w:rsidRPr="00966BD4">
        <w:t xml:space="preserve">fringe benefits tax receipts </w:t>
      </w:r>
      <w:r w:rsidR="005C3EF1" w:rsidRPr="00966BD4">
        <w:t>by</w:t>
      </w:r>
      <w:r w:rsidRPr="00966BD4">
        <w:t xml:space="preserve"> $</w:t>
      </w:r>
      <w:r w:rsidR="009B7498" w:rsidRPr="00966BD4">
        <w:t>10</w:t>
      </w:r>
      <w:r w:rsidR="002B655D" w:rsidRPr="00966BD4">
        <w:t>.0</w:t>
      </w:r>
      <w:r w:rsidR="009B7498" w:rsidRPr="00966BD4">
        <w:t> </w:t>
      </w:r>
      <w:r w:rsidRPr="00966BD4">
        <w:t xml:space="preserve">million over the </w:t>
      </w:r>
      <w:r w:rsidR="00AB079B" w:rsidRPr="00966BD4">
        <w:t>5</w:t>
      </w:r>
      <w:r w:rsidRPr="00966BD4">
        <w:t xml:space="preserve"> years </w:t>
      </w:r>
      <w:r w:rsidR="00900A7C" w:rsidRPr="00966BD4">
        <w:t>from 2022</w:t>
      </w:r>
      <w:r w:rsidR="00825B55" w:rsidRPr="00966BD4">
        <w:rPr>
          <w:rFonts w:ascii="Calibri" w:hAnsi="Calibri" w:cs="Calibri"/>
        </w:rPr>
        <w:t>–</w:t>
      </w:r>
      <w:r w:rsidR="00900A7C" w:rsidRPr="00966BD4">
        <w:t xml:space="preserve">23 </w:t>
      </w:r>
      <w:r w:rsidRPr="00966BD4">
        <w:t>to 202</w:t>
      </w:r>
      <w:r w:rsidR="000F7673" w:rsidRPr="00966BD4">
        <w:t>6</w:t>
      </w:r>
      <w:r w:rsidRPr="00966BD4">
        <w:t>–2</w:t>
      </w:r>
      <w:r w:rsidR="000F7673" w:rsidRPr="00966BD4">
        <w:t>7</w:t>
      </w:r>
      <w:r w:rsidR="005924B3" w:rsidRPr="00966BD4">
        <w:t>.</w:t>
      </w:r>
      <w:r w:rsidRPr="00966BD4">
        <w:t xml:space="preserve"> </w:t>
      </w:r>
    </w:p>
    <w:p w14:paraId="2B4A6816" w14:textId="50F734DF" w:rsidR="00D907F8" w:rsidRPr="00966BD4" w:rsidRDefault="00D907F8" w:rsidP="00605456">
      <w:pPr>
        <w:pStyle w:val="Heading4"/>
      </w:pPr>
      <w:bookmarkStart w:id="24" w:name="_Toc512338382"/>
      <w:bookmarkStart w:id="25" w:name="_Toc67658749"/>
      <w:bookmarkEnd w:id="23"/>
      <w:r w:rsidRPr="00966BD4">
        <w:t>Company tax</w:t>
      </w:r>
      <w:bookmarkEnd w:id="24"/>
      <w:bookmarkEnd w:id="25"/>
    </w:p>
    <w:p w14:paraId="6087EA4F" w14:textId="186C2FC9" w:rsidR="00D907F8" w:rsidRPr="00966BD4" w:rsidRDefault="00D907F8" w:rsidP="00774E24">
      <w:r w:rsidRPr="00966BD4">
        <w:t xml:space="preserve">Since </w:t>
      </w:r>
      <w:r w:rsidR="00DA5045" w:rsidRPr="00966BD4">
        <w:t>the October Budget</w:t>
      </w:r>
      <w:r w:rsidRPr="00966BD4">
        <w:t>, company tax receipts have been revised up to be $</w:t>
      </w:r>
      <w:r w:rsidR="00E42D2C" w:rsidRPr="00966BD4">
        <w:t>2</w:t>
      </w:r>
      <w:r w:rsidR="005544CF" w:rsidRPr="00966BD4">
        <w:t>8.9</w:t>
      </w:r>
      <w:r w:rsidRPr="00966BD4">
        <w:t> billion higher in 202</w:t>
      </w:r>
      <w:r w:rsidR="00DA5045" w:rsidRPr="00966BD4">
        <w:t>3</w:t>
      </w:r>
      <w:r w:rsidRPr="00966BD4">
        <w:t>–2</w:t>
      </w:r>
      <w:r w:rsidR="00DA5045" w:rsidRPr="00966BD4">
        <w:t>4</w:t>
      </w:r>
      <w:r w:rsidRPr="00966BD4" w:rsidDel="005A0AF7">
        <w:t xml:space="preserve"> </w:t>
      </w:r>
      <w:r w:rsidRPr="00966BD4">
        <w:t>and $</w:t>
      </w:r>
      <w:r w:rsidR="00E002F8" w:rsidRPr="00966BD4">
        <w:t>5</w:t>
      </w:r>
      <w:r w:rsidR="005544CF" w:rsidRPr="00966BD4">
        <w:t>2.7</w:t>
      </w:r>
      <w:r w:rsidRPr="00966BD4">
        <w:t xml:space="preserve"> billion higher over the </w:t>
      </w:r>
      <w:r w:rsidR="00481935" w:rsidRPr="00966BD4">
        <w:t>5</w:t>
      </w:r>
      <w:r w:rsidRPr="00966BD4">
        <w:t xml:space="preserve"> years </w:t>
      </w:r>
      <w:r w:rsidR="00182E25" w:rsidRPr="00966BD4">
        <w:t>from 2022</w:t>
      </w:r>
      <w:r w:rsidR="00825B55" w:rsidRPr="00966BD4">
        <w:rPr>
          <w:rFonts w:ascii="Calibri" w:hAnsi="Calibri" w:cs="Calibri"/>
        </w:rPr>
        <w:t>–</w:t>
      </w:r>
      <w:r w:rsidR="00182E25" w:rsidRPr="00966BD4">
        <w:t xml:space="preserve">23 </w:t>
      </w:r>
      <w:r w:rsidRPr="00966BD4">
        <w:t>to 202</w:t>
      </w:r>
      <w:r w:rsidR="00DA5045" w:rsidRPr="00966BD4">
        <w:t>6</w:t>
      </w:r>
      <w:r w:rsidRPr="00966BD4">
        <w:t>–2</w:t>
      </w:r>
      <w:r w:rsidR="00DA5045" w:rsidRPr="00966BD4">
        <w:t>7</w:t>
      </w:r>
      <w:r w:rsidRPr="00966BD4">
        <w:t>. Year</w:t>
      </w:r>
      <w:r w:rsidR="001B77CF">
        <w:noBreakHyphen/>
      </w:r>
      <w:r w:rsidRPr="00966BD4">
        <w:t>on</w:t>
      </w:r>
      <w:r w:rsidR="001B77CF">
        <w:noBreakHyphen/>
      </w:r>
      <w:r w:rsidRPr="00966BD4">
        <w:t xml:space="preserve">year, company tax receipts are expected to </w:t>
      </w:r>
      <w:r w:rsidR="00E92129" w:rsidRPr="00966BD4">
        <w:t>fall</w:t>
      </w:r>
      <w:r w:rsidRPr="00966BD4">
        <w:t xml:space="preserve"> by </w:t>
      </w:r>
      <w:r w:rsidR="00D80AA4" w:rsidRPr="00966BD4">
        <w:t>7.0</w:t>
      </w:r>
      <w:r w:rsidRPr="00966BD4">
        <w:t xml:space="preserve"> per cent in 202</w:t>
      </w:r>
      <w:r w:rsidR="00DA5045" w:rsidRPr="00966BD4">
        <w:t>3</w:t>
      </w:r>
      <w:r w:rsidRPr="00966BD4">
        <w:t>–2</w:t>
      </w:r>
      <w:r w:rsidR="00DA5045" w:rsidRPr="00966BD4">
        <w:t>4</w:t>
      </w:r>
      <w:r w:rsidRPr="00966BD4">
        <w:t xml:space="preserve"> and </w:t>
      </w:r>
      <w:r w:rsidR="000D2A90" w:rsidRPr="00966BD4">
        <w:t>6.</w:t>
      </w:r>
      <w:r w:rsidR="00087870" w:rsidRPr="00966BD4">
        <w:t>9</w:t>
      </w:r>
      <w:r w:rsidR="00D925FC" w:rsidRPr="00966BD4">
        <w:t> </w:t>
      </w:r>
      <w:r w:rsidRPr="00966BD4">
        <w:t>per cent in 202</w:t>
      </w:r>
      <w:r w:rsidR="00CC7969" w:rsidRPr="00966BD4">
        <w:t>4</w:t>
      </w:r>
      <w:r w:rsidRPr="00966BD4">
        <w:t>–2</w:t>
      </w:r>
      <w:r w:rsidR="00CC7969" w:rsidRPr="00966BD4">
        <w:t>5</w:t>
      </w:r>
      <w:r w:rsidR="00DB6A3C" w:rsidRPr="00966BD4">
        <w:t xml:space="preserve"> </w:t>
      </w:r>
      <w:proofErr w:type="gramStart"/>
      <w:r w:rsidR="00DB6A3C" w:rsidRPr="00966BD4">
        <w:t>as a result of</w:t>
      </w:r>
      <w:proofErr w:type="gramEnd"/>
      <w:r w:rsidR="00DB6A3C" w:rsidRPr="00966BD4">
        <w:t xml:space="preserve"> </w:t>
      </w:r>
      <w:r w:rsidR="00432704" w:rsidRPr="00966BD4">
        <w:t>conservative assumptions for commodity export prices</w:t>
      </w:r>
      <w:r w:rsidRPr="00966BD4">
        <w:t>.</w:t>
      </w:r>
    </w:p>
    <w:p w14:paraId="02C41C60" w14:textId="21F1B3D3" w:rsidR="007F7BF6" w:rsidRPr="00966BD4" w:rsidRDefault="000B0668" w:rsidP="00774E24">
      <w:r w:rsidRPr="00966BD4">
        <w:t xml:space="preserve">Excluding </w:t>
      </w:r>
      <w:r w:rsidR="00E12373" w:rsidRPr="00966BD4">
        <w:t>new policy decisions</w:t>
      </w:r>
      <w:r w:rsidRPr="00966BD4">
        <w:t>, company tax has been revised up by $</w:t>
      </w:r>
      <w:r w:rsidR="00A17C8D" w:rsidRPr="00966BD4">
        <w:t>29.3</w:t>
      </w:r>
      <w:r w:rsidRPr="00966BD4">
        <w:t xml:space="preserve"> billion in</w:t>
      </w:r>
      <w:r w:rsidR="00F001A1" w:rsidRPr="00966BD4">
        <w:br/>
      </w:r>
      <w:r w:rsidR="00825B55" w:rsidRPr="00966BD4">
        <w:t>2023–2</w:t>
      </w:r>
      <w:r w:rsidR="00FD5F48" w:rsidRPr="00966BD4">
        <w:t>4</w:t>
      </w:r>
      <w:r w:rsidRPr="00966BD4">
        <w:t xml:space="preserve"> and $</w:t>
      </w:r>
      <w:r w:rsidR="00D105E3" w:rsidRPr="00966BD4">
        <w:t>51.</w:t>
      </w:r>
      <w:r w:rsidR="00C74A5E" w:rsidRPr="00966BD4">
        <w:t>8</w:t>
      </w:r>
      <w:r w:rsidRPr="00966BD4">
        <w:t xml:space="preserve"> billion over the 5 years </w:t>
      </w:r>
      <w:r w:rsidR="00182E25" w:rsidRPr="00966BD4">
        <w:t>from 202</w:t>
      </w:r>
      <w:r w:rsidR="00825B55" w:rsidRPr="00966BD4">
        <w:t>2–2</w:t>
      </w:r>
      <w:r w:rsidR="00182E25" w:rsidRPr="00966BD4">
        <w:t xml:space="preserve">3 </w:t>
      </w:r>
      <w:r w:rsidRPr="00966BD4">
        <w:t xml:space="preserve">to </w:t>
      </w:r>
      <w:r w:rsidR="00825B55" w:rsidRPr="00966BD4">
        <w:t>2026–27</w:t>
      </w:r>
      <w:r w:rsidRPr="00966BD4">
        <w:t xml:space="preserve">. </w:t>
      </w:r>
      <w:r w:rsidR="0008721A" w:rsidRPr="00966BD4">
        <w:t>Collections in 2022</w:t>
      </w:r>
      <w:r w:rsidR="00B31FA9" w:rsidRPr="00966BD4">
        <w:t>–</w:t>
      </w:r>
      <w:r w:rsidR="0008721A" w:rsidRPr="00966BD4">
        <w:t xml:space="preserve">23 have </w:t>
      </w:r>
      <w:r w:rsidR="005C05AF" w:rsidRPr="00966BD4">
        <w:t>continued to exceed expectations.</w:t>
      </w:r>
      <w:r w:rsidR="00E47D93" w:rsidRPr="00966BD4">
        <w:t xml:space="preserve"> </w:t>
      </w:r>
      <w:r w:rsidR="00810CA7" w:rsidRPr="00966BD4">
        <w:t>Company</w:t>
      </w:r>
      <w:r w:rsidR="00563E02" w:rsidRPr="00966BD4">
        <w:t xml:space="preserve"> </w:t>
      </w:r>
      <w:r w:rsidR="00E47D93" w:rsidRPr="00966BD4">
        <w:t>tax receipts to March 2023 were $7.</w:t>
      </w:r>
      <w:r w:rsidR="00535F71" w:rsidRPr="00966BD4">
        <w:t>6</w:t>
      </w:r>
      <w:r w:rsidR="00E52F33" w:rsidRPr="00966BD4">
        <w:t> b</w:t>
      </w:r>
      <w:r w:rsidR="00E47D93" w:rsidRPr="00966BD4">
        <w:t>illion higher than expected at the October Budget. This reflects</w:t>
      </w:r>
      <w:r w:rsidR="005C05AF" w:rsidRPr="00966BD4">
        <w:t xml:space="preserve"> </w:t>
      </w:r>
      <w:r w:rsidR="00737243" w:rsidRPr="00966BD4">
        <w:t>higher</w:t>
      </w:r>
      <w:r w:rsidR="001B77CF">
        <w:noBreakHyphen/>
      </w:r>
      <w:r w:rsidR="00737243" w:rsidRPr="00966BD4">
        <w:t>than</w:t>
      </w:r>
      <w:r w:rsidR="001B77CF">
        <w:noBreakHyphen/>
      </w:r>
      <w:r w:rsidR="00737243" w:rsidRPr="00966BD4">
        <w:t xml:space="preserve">expected collections </w:t>
      </w:r>
      <w:r w:rsidR="00D67222" w:rsidRPr="00966BD4">
        <w:t>from larger compani</w:t>
      </w:r>
      <w:r w:rsidR="00AF0805" w:rsidRPr="00966BD4">
        <w:t>es in the non</w:t>
      </w:r>
      <w:r w:rsidR="001B77CF">
        <w:noBreakHyphen/>
      </w:r>
      <w:r w:rsidR="00AF0805" w:rsidRPr="00966BD4">
        <w:t>mining, non</w:t>
      </w:r>
      <w:r w:rsidR="001B77CF">
        <w:noBreakHyphen/>
      </w:r>
      <w:r w:rsidR="00AF0805" w:rsidRPr="00966BD4">
        <w:t>finance sect</w:t>
      </w:r>
      <w:r w:rsidR="00AB455C" w:rsidRPr="00966BD4">
        <w:t>or</w:t>
      </w:r>
      <w:r w:rsidR="007326D2" w:rsidRPr="00966BD4">
        <w:t>, as well as higher</w:t>
      </w:r>
      <w:r w:rsidR="00DA1EAB" w:rsidRPr="00966BD4">
        <w:t xml:space="preserve"> collections from </w:t>
      </w:r>
      <w:r w:rsidR="009E0406" w:rsidRPr="00966BD4">
        <w:t xml:space="preserve">the </w:t>
      </w:r>
      <w:r w:rsidR="00BC401B" w:rsidRPr="00966BD4">
        <w:t xml:space="preserve">resources </w:t>
      </w:r>
      <w:r w:rsidR="009E0406" w:rsidRPr="00966BD4">
        <w:t xml:space="preserve">sector </w:t>
      </w:r>
      <w:proofErr w:type="gramStart"/>
      <w:r w:rsidR="009E0406" w:rsidRPr="00966BD4">
        <w:t>as a result of</w:t>
      </w:r>
      <w:proofErr w:type="gramEnd"/>
      <w:r w:rsidR="009E0406" w:rsidRPr="00966BD4">
        <w:t xml:space="preserve"> elevated commodity prices. </w:t>
      </w:r>
    </w:p>
    <w:p w14:paraId="6A69C03F" w14:textId="6C060ECA" w:rsidR="00DE080C" w:rsidRPr="00966BD4" w:rsidRDefault="00F50F2A" w:rsidP="00774E24">
      <w:r w:rsidRPr="00966BD4">
        <w:t>The</w:t>
      </w:r>
      <w:r w:rsidR="00252212" w:rsidRPr="00966BD4">
        <w:t xml:space="preserve"> significant</w:t>
      </w:r>
      <w:r w:rsidRPr="00966BD4">
        <w:t xml:space="preserve"> </w:t>
      </w:r>
      <w:r w:rsidR="00BD4515" w:rsidRPr="00966BD4">
        <w:t>u</w:t>
      </w:r>
      <w:r w:rsidR="00651528" w:rsidRPr="00966BD4">
        <w:t>pward revision</w:t>
      </w:r>
      <w:r w:rsidR="00303B3E" w:rsidRPr="00966BD4">
        <w:t xml:space="preserve"> </w:t>
      </w:r>
      <w:r w:rsidR="00A91389" w:rsidRPr="00966BD4">
        <w:t xml:space="preserve">across the forward estimates </w:t>
      </w:r>
      <w:r w:rsidR="00303B3E" w:rsidRPr="00966BD4">
        <w:t xml:space="preserve">reflects </w:t>
      </w:r>
      <w:r w:rsidR="00DD6F3B" w:rsidRPr="00966BD4">
        <w:t>continued</w:t>
      </w:r>
      <w:r w:rsidR="00303B3E" w:rsidRPr="00966BD4">
        <w:t xml:space="preserve"> strength in </w:t>
      </w:r>
      <w:r w:rsidR="00A96C1D" w:rsidRPr="00966BD4">
        <w:t xml:space="preserve">company tax </w:t>
      </w:r>
      <w:r w:rsidR="00C737EB" w:rsidRPr="00966BD4">
        <w:t xml:space="preserve">instalments </w:t>
      </w:r>
      <w:r w:rsidR="00532900" w:rsidRPr="00966BD4">
        <w:t xml:space="preserve">and </w:t>
      </w:r>
      <w:r w:rsidR="00572AB4" w:rsidRPr="00966BD4">
        <w:t>an improv</w:t>
      </w:r>
      <w:r w:rsidR="00A243AC" w:rsidRPr="00966BD4">
        <w:t>e</w:t>
      </w:r>
      <w:r w:rsidR="00572AB4" w:rsidRPr="00966BD4">
        <w:t xml:space="preserve">d outlook for company profits </w:t>
      </w:r>
      <w:r w:rsidR="00A243AC" w:rsidRPr="00966BD4">
        <w:t xml:space="preserve">across </w:t>
      </w:r>
      <w:r w:rsidR="008335A6" w:rsidRPr="00966BD4">
        <w:t>the broader economy</w:t>
      </w:r>
      <w:r w:rsidR="00A243AC" w:rsidRPr="00966BD4">
        <w:t>.</w:t>
      </w:r>
      <w:r w:rsidR="004F2AF8" w:rsidRPr="00966BD4">
        <w:t xml:space="preserve"> </w:t>
      </w:r>
      <w:r w:rsidR="00B8625F" w:rsidRPr="00966BD4">
        <w:t>Near</w:t>
      </w:r>
      <w:r w:rsidR="00DD5F54" w:rsidRPr="00966BD4">
        <w:t xml:space="preserve"> </w:t>
      </w:r>
      <w:r w:rsidR="00B8625F" w:rsidRPr="00966BD4">
        <w:t xml:space="preserve">term strength is </w:t>
      </w:r>
      <w:r w:rsidR="00814940" w:rsidRPr="00966BD4">
        <w:t xml:space="preserve">largely </w:t>
      </w:r>
      <w:r w:rsidR="004431A7" w:rsidRPr="00966BD4">
        <w:t xml:space="preserve">driven </w:t>
      </w:r>
      <w:r w:rsidR="00D76CB2" w:rsidRPr="00966BD4">
        <w:t>by</w:t>
      </w:r>
      <w:r w:rsidR="00B8625F" w:rsidRPr="00966BD4">
        <w:t xml:space="preserve"> </w:t>
      </w:r>
      <w:r w:rsidR="00CD4E82" w:rsidRPr="00966BD4">
        <w:t xml:space="preserve">increased profitability in the resources </w:t>
      </w:r>
      <w:r w:rsidR="002345CF" w:rsidRPr="00966BD4">
        <w:t xml:space="preserve">sector, reflecting </w:t>
      </w:r>
      <w:r w:rsidR="003F4BA3" w:rsidRPr="00966BD4">
        <w:t>elevated near</w:t>
      </w:r>
      <w:r w:rsidR="001B77CF">
        <w:noBreakHyphen/>
      </w:r>
      <w:r w:rsidR="003F4BA3" w:rsidRPr="00966BD4">
        <w:t>term</w:t>
      </w:r>
      <w:r w:rsidR="001E7D4E" w:rsidRPr="00966BD4">
        <w:t xml:space="preserve"> commodity</w:t>
      </w:r>
      <w:r w:rsidR="00CC4C99" w:rsidRPr="00966BD4">
        <w:t xml:space="preserve"> prices, </w:t>
      </w:r>
      <w:r w:rsidR="008406ED" w:rsidRPr="00966BD4">
        <w:t xml:space="preserve">and </w:t>
      </w:r>
      <w:r w:rsidR="00160032" w:rsidRPr="00966BD4">
        <w:t xml:space="preserve">an extension in the period </w:t>
      </w:r>
      <w:r w:rsidR="00247801">
        <w:br/>
      </w:r>
      <w:r w:rsidR="00160032" w:rsidRPr="00966BD4">
        <w:t xml:space="preserve">over which </w:t>
      </w:r>
      <w:r w:rsidR="00E1700B" w:rsidRPr="00966BD4">
        <w:t>commodity prices adjust to conservative</w:t>
      </w:r>
      <w:r w:rsidR="002E7001" w:rsidRPr="00966BD4">
        <w:t xml:space="preserve">, </w:t>
      </w:r>
      <w:r w:rsidR="0050190F" w:rsidRPr="00966BD4">
        <w:t>albeit higher</w:t>
      </w:r>
      <w:r w:rsidR="005D6692" w:rsidRPr="00966BD4">
        <w:t>,</w:t>
      </w:r>
      <w:r w:rsidR="00E1700B" w:rsidRPr="00966BD4">
        <w:t xml:space="preserve"> long</w:t>
      </w:r>
      <w:r w:rsidR="001B77CF">
        <w:noBreakHyphen/>
      </w:r>
      <w:r w:rsidR="00E1700B" w:rsidRPr="00966BD4">
        <w:t>term levels</w:t>
      </w:r>
      <w:r w:rsidR="000163F7" w:rsidRPr="00966BD4">
        <w:t xml:space="preserve"> (see </w:t>
      </w:r>
      <w:r w:rsidR="00F94011" w:rsidRPr="00966BD4">
        <w:t>B</w:t>
      </w:r>
      <w:r w:rsidR="000163F7" w:rsidRPr="00966BD4">
        <w:t>ox 2.</w:t>
      </w:r>
      <w:r w:rsidR="0018759F" w:rsidRPr="00966BD4">
        <w:t>4</w:t>
      </w:r>
      <w:r w:rsidR="000163F7" w:rsidRPr="00966BD4">
        <w:t>)</w:t>
      </w:r>
      <w:r w:rsidR="00E1700B" w:rsidRPr="00966BD4">
        <w:t>.</w:t>
      </w:r>
      <w:r w:rsidR="00446536" w:rsidRPr="00966BD4">
        <w:t xml:space="preserve"> </w:t>
      </w:r>
      <w:r w:rsidR="00DC588F" w:rsidRPr="00966BD4">
        <w:t xml:space="preserve">An improved outlook for the </w:t>
      </w:r>
      <w:r w:rsidR="00C84950" w:rsidRPr="00966BD4">
        <w:t>non</w:t>
      </w:r>
      <w:r w:rsidR="001B77CF">
        <w:noBreakHyphen/>
      </w:r>
      <w:r w:rsidR="00C84950" w:rsidRPr="00966BD4">
        <w:t>mining</w:t>
      </w:r>
      <w:r w:rsidR="00DC588F" w:rsidRPr="00966BD4">
        <w:t xml:space="preserve"> sector</w:t>
      </w:r>
      <w:r w:rsidR="001A611D" w:rsidRPr="00966BD4">
        <w:t>s</w:t>
      </w:r>
      <w:r w:rsidR="00DC588F" w:rsidRPr="00966BD4">
        <w:t xml:space="preserve"> </w:t>
      </w:r>
      <w:r w:rsidR="00EF1BD8" w:rsidRPr="00966BD4">
        <w:t>also support</w:t>
      </w:r>
      <w:r w:rsidR="004B6886" w:rsidRPr="00966BD4">
        <w:t>s</w:t>
      </w:r>
      <w:r w:rsidR="00EF1BD8" w:rsidRPr="00966BD4">
        <w:t xml:space="preserve"> strength in </w:t>
      </w:r>
      <w:r w:rsidR="00247801">
        <w:br/>
      </w:r>
      <w:r w:rsidR="00EF1BD8" w:rsidRPr="00966BD4">
        <w:t>receipts in the near</w:t>
      </w:r>
      <w:r w:rsidR="001B77CF">
        <w:noBreakHyphen/>
      </w:r>
      <w:r w:rsidR="00EF1BD8" w:rsidRPr="00966BD4">
        <w:t>term.</w:t>
      </w:r>
    </w:p>
    <w:p w14:paraId="7FE6415D" w14:textId="69A02DE7" w:rsidR="00FE0C78" w:rsidRPr="00966BD4" w:rsidRDefault="00FE0C78" w:rsidP="00774E24">
      <w:r w:rsidRPr="00966BD4">
        <w:t xml:space="preserve">Tax paid by resource companies is expected to moderate over the forward estimates in line with </w:t>
      </w:r>
      <w:r w:rsidR="00833E30" w:rsidRPr="00966BD4">
        <w:t xml:space="preserve">the assumed </w:t>
      </w:r>
      <w:r w:rsidRPr="00966BD4">
        <w:t>declin</w:t>
      </w:r>
      <w:r w:rsidR="00833E30" w:rsidRPr="00966BD4">
        <w:t>e</w:t>
      </w:r>
      <w:r w:rsidRPr="00966BD4">
        <w:t xml:space="preserve"> </w:t>
      </w:r>
      <w:r w:rsidR="00833E30" w:rsidRPr="00966BD4">
        <w:t>in</w:t>
      </w:r>
      <w:r w:rsidRPr="00966BD4">
        <w:t xml:space="preserve"> commodity prices as well as the appreciation of the Australian dollar</w:t>
      </w:r>
      <w:r w:rsidR="00257D49" w:rsidRPr="00966BD4">
        <w:t xml:space="preserve"> since the October Budget</w:t>
      </w:r>
      <w:r w:rsidRPr="00966BD4">
        <w:t>, offsetting some of the continuing strength in the financial and non</w:t>
      </w:r>
      <w:r w:rsidR="001B77CF">
        <w:noBreakHyphen/>
      </w:r>
      <w:r w:rsidRPr="00966BD4">
        <w:t>mining</w:t>
      </w:r>
      <w:r w:rsidR="00092B3D" w:rsidRPr="00966BD4">
        <w:t>,</w:t>
      </w:r>
      <w:r w:rsidRPr="00966BD4">
        <w:t xml:space="preserve"> non</w:t>
      </w:r>
      <w:r w:rsidR="001B77CF">
        <w:noBreakHyphen/>
      </w:r>
      <w:r w:rsidRPr="00966BD4">
        <w:t>finance sectors.</w:t>
      </w:r>
    </w:p>
    <w:p w14:paraId="6544FBA0" w14:textId="08D43B65" w:rsidR="00C53A00" w:rsidRPr="00E0267E" w:rsidRDefault="00C53A00" w:rsidP="00774E24">
      <w:r w:rsidRPr="00966BD4">
        <w:t>New tax policy measures announced since the October Budget are expected to decrease company tax receipts by $</w:t>
      </w:r>
      <w:r w:rsidR="003F644A" w:rsidRPr="00966BD4">
        <w:t>362.1</w:t>
      </w:r>
      <w:r w:rsidRPr="00966BD4">
        <w:t xml:space="preserve"> million in </w:t>
      </w:r>
      <w:r w:rsidR="00825B55" w:rsidRPr="00966BD4">
        <w:t>2023–2</w:t>
      </w:r>
      <w:r w:rsidRPr="00966BD4">
        <w:t>4 but increase company tax receipts by $</w:t>
      </w:r>
      <w:r w:rsidR="00260097" w:rsidRPr="00966BD4">
        <w:t>911.5</w:t>
      </w:r>
      <w:r w:rsidRPr="00966BD4">
        <w:t xml:space="preserve"> </w:t>
      </w:r>
      <w:r w:rsidR="003F644A" w:rsidRPr="00966BD4">
        <w:t>million</w:t>
      </w:r>
      <w:r w:rsidRPr="00966BD4">
        <w:t xml:space="preserve"> over the </w:t>
      </w:r>
      <w:r w:rsidR="00825B55" w:rsidRPr="00966BD4">
        <w:t>5</w:t>
      </w:r>
      <w:r w:rsidRPr="00966BD4">
        <w:t xml:space="preserve"> years </w:t>
      </w:r>
      <w:r w:rsidR="001B452B" w:rsidRPr="00966BD4">
        <w:t>from 202</w:t>
      </w:r>
      <w:r w:rsidR="00825B55" w:rsidRPr="00966BD4">
        <w:t>2–2</w:t>
      </w:r>
      <w:r w:rsidR="001B452B" w:rsidRPr="00966BD4">
        <w:t xml:space="preserve">3 </w:t>
      </w:r>
      <w:r w:rsidRPr="00966BD4">
        <w:t xml:space="preserve">to </w:t>
      </w:r>
      <w:r w:rsidR="00825B55" w:rsidRPr="00966BD4">
        <w:t>2026–</w:t>
      </w:r>
      <w:r w:rsidR="00F001A1" w:rsidRPr="00966BD4">
        <w:t>27.</w:t>
      </w:r>
      <w:r w:rsidRPr="00966BD4">
        <w:t xml:space="preserve"> Key decisions driving these expected changes are:</w:t>
      </w:r>
      <w:r w:rsidR="00460170" w:rsidRPr="00966BD4">
        <w:t xml:space="preserve"> </w:t>
      </w:r>
    </w:p>
    <w:p w14:paraId="227615C6" w14:textId="02942821" w:rsidR="00C53A00" w:rsidRPr="00E0267E" w:rsidRDefault="00C53A00" w:rsidP="00774E24">
      <w:pPr>
        <w:pStyle w:val="Bullet"/>
        <w:rPr>
          <w:rFonts w:asciiTheme="minorHAnsi" w:hAnsiTheme="minorHAnsi"/>
          <w:szCs w:val="19"/>
        </w:rPr>
      </w:pPr>
      <w:r w:rsidRPr="00966BD4">
        <w:t xml:space="preserve">The measure </w:t>
      </w:r>
      <w:r w:rsidRPr="00966BD4">
        <w:rPr>
          <w:i/>
        </w:rPr>
        <w:t>GST compliance program</w:t>
      </w:r>
      <w:r w:rsidR="009678D7" w:rsidRPr="00966BD4">
        <w:rPr>
          <w:i/>
        </w:rPr>
        <w:t xml:space="preserve"> – </w:t>
      </w:r>
      <w:r w:rsidRPr="00966BD4">
        <w:rPr>
          <w:i/>
        </w:rPr>
        <w:t>four</w:t>
      </w:r>
      <w:r w:rsidR="001B77CF">
        <w:rPr>
          <w:i/>
        </w:rPr>
        <w:noBreakHyphen/>
      </w:r>
      <w:r w:rsidRPr="00966BD4">
        <w:rPr>
          <w:i/>
        </w:rPr>
        <w:t xml:space="preserve">year </w:t>
      </w:r>
      <w:proofErr w:type="gramStart"/>
      <w:r w:rsidRPr="00966BD4">
        <w:rPr>
          <w:i/>
        </w:rPr>
        <w:t>extension</w:t>
      </w:r>
      <w:r w:rsidRPr="00966BD4">
        <w:t xml:space="preserve"> </w:t>
      </w:r>
      <w:r w:rsidRPr="00E0267E">
        <w:t xml:space="preserve"> </w:t>
      </w:r>
      <w:r w:rsidRPr="00966BD4">
        <w:t>which</w:t>
      </w:r>
      <w:proofErr w:type="gramEnd"/>
      <w:r w:rsidRPr="00966BD4">
        <w:t xml:space="preserve"> is estimated to increase company tax receipts by $151</w:t>
      </w:r>
      <w:r w:rsidR="005423B1" w:rsidRPr="00966BD4">
        <w:t>.0</w:t>
      </w:r>
      <w:r w:rsidRPr="00966BD4">
        <w:t xml:space="preserve"> million in </w:t>
      </w:r>
      <w:r w:rsidR="00825B55" w:rsidRPr="00966BD4">
        <w:t>2023–2</w:t>
      </w:r>
      <w:r w:rsidRPr="00966BD4">
        <w:t>4 and $881</w:t>
      </w:r>
      <w:r w:rsidR="003F1E7C" w:rsidRPr="00966BD4">
        <w:t>.4</w:t>
      </w:r>
      <w:r w:rsidRPr="00966BD4">
        <w:t xml:space="preserve"> million over the </w:t>
      </w:r>
      <w:r w:rsidR="00825B55" w:rsidRPr="00966BD4">
        <w:t>5</w:t>
      </w:r>
      <w:r w:rsidRPr="00966BD4">
        <w:t xml:space="preserve"> years </w:t>
      </w:r>
      <w:r w:rsidR="001C4A03" w:rsidRPr="00966BD4">
        <w:t>from 202</w:t>
      </w:r>
      <w:r w:rsidR="00825B55" w:rsidRPr="00966BD4">
        <w:t>2–2</w:t>
      </w:r>
      <w:r w:rsidR="001C4A03" w:rsidRPr="00966BD4">
        <w:t>3</w:t>
      </w:r>
      <w:r w:rsidRPr="00966BD4">
        <w:t xml:space="preserve"> to </w:t>
      </w:r>
      <w:r w:rsidR="00825B55" w:rsidRPr="00966BD4">
        <w:t>2026–</w:t>
      </w:r>
      <w:r w:rsidR="00F001A1" w:rsidRPr="00966BD4">
        <w:t>27.</w:t>
      </w:r>
    </w:p>
    <w:p w14:paraId="272E0EF1" w14:textId="5925C3BF" w:rsidR="00C53A00" w:rsidRPr="00966BD4" w:rsidRDefault="00C53A00" w:rsidP="00774E24">
      <w:pPr>
        <w:pStyle w:val="Bullet"/>
        <w:rPr>
          <w:rFonts w:asciiTheme="minorHAnsi" w:hAnsiTheme="minorHAnsi"/>
          <w:szCs w:val="19"/>
        </w:rPr>
      </w:pPr>
      <w:r w:rsidRPr="00966BD4">
        <w:t xml:space="preserve">The decision </w:t>
      </w:r>
      <w:r w:rsidRPr="00966BD4">
        <w:rPr>
          <w:i/>
        </w:rPr>
        <w:t xml:space="preserve">Amending measures of the </w:t>
      </w:r>
      <w:r w:rsidR="00591B3C" w:rsidRPr="00966BD4">
        <w:rPr>
          <w:i/>
        </w:rPr>
        <w:t xml:space="preserve">former </w:t>
      </w:r>
      <w:r w:rsidRPr="00966BD4">
        <w:rPr>
          <w:i/>
        </w:rPr>
        <w:t>Government</w:t>
      </w:r>
      <w:r w:rsidRPr="00966BD4">
        <w:t xml:space="preserve"> expected to increase receipts by $50</w:t>
      </w:r>
      <w:r w:rsidR="00FB0A4F" w:rsidRPr="00966BD4">
        <w:t>.0</w:t>
      </w:r>
      <w:r w:rsidRPr="00966BD4">
        <w:t xml:space="preserve"> million in </w:t>
      </w:r>
      <w:r w:rsidR="00825B55" w:rsidRPr="00966BD4">
        <w:t>2023–2</w:t>
      </w:r>
      <w:r w:rsidRPr="00966BD4">
        <w:t>4 and $460</w:t>
      </w:r>
      <w:r w:rsidR="00FB0A4F" w:rsidRPr="00966BD4">
        <w:t>.0</w:t>
      </w:r>
      <w:r w:rsidRPr="00966BD4">
        <w:t xml:space="preserve"> million over the </w:t>
      </w:r>
      <w:r w:rsidR="00825B55" w:rsidRPr="00966BD4">
        <w:t>5</w:t>
      </w:r>
      <w:r w:rsidRPr="00966BD4">
        <w:t xml:space="preserve"> years </w:t>
      </w:r>
      <w:r w:rsidR="00266144" w:rsidRPr="00966BD4">
        <w:t>from 202</w:t>
      </w:r>
      <w:r w:rsidR="00825B55" w:rsidRPr="00966BD4">
        <w:t>2–2</w:t>
      </w:r>
      <w:r w:rsidR="00266144" w:rsidRPr="00966BD4">
        <w:t>3</w:t>
      </w:r>
      <w:r w:rsidRPr="00966BD4">
        <w:t xml:space="preserve"> to </w:t>
      </w:r>
      <w:r w:rsidR="00825B55" w:rsidRPr="00966BD4">
        <w:t>2026–</w:t>
      </w:r>
      <w:r w:rsidR="00F001A1" w:rsidRPr="00966BD4">
        <w:t>27.</w:t>
      </w:r>
    </w:p>
    <w:p w14:paraId="2D000E5E" w14:textId="48A7DC43" w:rsidR="00C53A00" w:rsidRPr="00E0267E" w:rsidRDefault="00C53A00" w:rsidP="00774E24">
      <w:pPr>
        <w:pStyle w:val="Bullet"/>
        <w:rPr>
          <w:rFonts w:asciiTheme="minorHAnsi" w:hAnsiTheme="minorHAnsi"/>
          <w:szCs w:val="19"/>
        </w:rPr>
      </w:pPr>
      <w:r w:rsidRPr="00966BD4">
        <w:lastRenderedPageBreak/>
        <w:t xml:space="preserve">The </w:t>
      </w:r>
      <w:r w:rsidRPr="00966BD4">
        <w:rPr>
          <w:i/>
        </w:rPr>
        <w:t>Small Business Support – Small Business Energy Incentive</w:t>
      </w:r>
      <w:r w:rsidRPr="00966BD4">
        <w:t xml:space="preserve"> measure which is expected to have no impact in </w:t>
      </w:r>
      <w:r w:rsidR="00825B55" w:rsidRPr="00966BD4">
        <w:t>2023–2</w:t>
      </w:r>
      <w:r w:rsidRPr="00966BD4">
        <w:t>4 but to decrease company tax receipts by $160</w:t>
      </w:r>
      <w:r w:rsidR="003F5ED1" w:rsidRPr="00966BD4">
        <w:t>.0</w:t>
      </w:r>
      <w:r w:rsidRPr="00966BD4">
        <w:t xml:space="preserve"> million over the </w:t>
      </w:r>
      <w:r w:rsidR="00825B55" w:rsidRPr="00966BD4">
        <w:t>5</w:t>
      </w:r>
      <w:r w:rsidRPr="00966BD4">
        <w:t xml:space="preserve"> years </w:t>
      </w:r>
      <w:r w:rsidR="0065788D" w:rsidRPr="00966BD4">
        <w:t>from 202</w:t>
      </w:r>
      <w:r w:rsidR="00825B55" w:rsidRPr="00966BD4">
        <w:t>2–2</w:t>
      </w:r>
      <w:r w:rsidR="0065788D" w:rsidRPr="00966BD4">
        <w:t xml:space="preserve">3 </w:t>
      </w:r>
      <w:r w:rsidRPr="00966BD4">
        <w:t xml:space="preserve">to </w:t>
      </w:r>
      <w:r w:rsidR="00825B55" w:rsidRPr="00966BD4">
        <w:t>2026–</w:t>
      </w:r>
      <w:r w:rsidR="00F001A1" w:rsidRPr="00966BD4">
        <w:t>27.</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495D85" w:rsidRPr="00E0267E" w14:paraId="2D6C6EAB" w14:textId="77777777" w:rsidTr="007913DD">
        <w:trPr>
          <w:cantSplit/>
        </w:trPr>
        <w:tc>
          <w:tcPr>
            <w:tcW w:w="5000" w:type="pct"/>
            <w:shd w:val="clear" w:color="auto" w:fill="E6F2FF"/>
          </w:tcPr>
          <w:p w14:paraId="490FA367" w14:textId="48117B2E" w:rsidR="00BC5969" w:rsidRPr="00966BD4" w:rsidRDefault="00BC5969">
            <w:pPr>
              <w:pStyle w:val="BoxHeading"/>
            </w:pPr>
            <w:bookmarkStart w:id="26" w:name="_Toc67658750"/>
            <w:r w:rsidRPr="00966BD4">
              <w:lastRenderedPageBreak/>
              <w:t>Box 5.</w:t>
            </w:r>
            <w:r w:rsidR="005C22BF" w:rsidRPr="00966BD4">
              <w:t>1</w:t>
            </w:r>
            <w:r w:rsidRPr="00966BD4">
              <w:t xml:space="preserve"> </w:t>
            </w:r>
            <w:r w:rsidR="00D625F2" w:rsidRPr="00966BD4">
              <w:t>Australia</w:t>
            </w:r>
            <w:r w:rsidR="001B77CF">
              <w:t>’</w:t>
            </w:r>
            <w:r w:rsidR="00D625F2" w:rsidRPr="00966BD4">
              <w:t xml:space="preserve">s implementation of a global minimum tax and a domestic minimum tax, key </w:t>
            </w:r>
            <w:r w:rsidR="00AA0468" w:rsidRPr="00966BD4">
              <w:t>elements</w:t>
            </w:r>
            <w:r w:rsidR="00D625F2" w:rsidRPr="00966BD4">
              <w:t xml:space="preserve"> of Pillar Two of the OECD/G20 multilateral agreement on global tax</w:t>
            </w:r>
          </w:p>
          <w:p w14:paraId="3022C156" w14:textId="77A3748C" w:rsidR="0013697E" w:rsidRPr="00966BD4" w:rsidRDefault="0013697E" w:rsidP="00774E24">
            <w:pPr>
              <w:pStyle w:val="BoxText"/>
            </w:pPr>
            <w:r w:rsidRPr="00966BD4">
              <w:t>In October 2021, Australia, along with 135 other jurisdictions of the OECD/G20 Inclusive Framework on Base Erosion and Profit Shifting joined a multilateral agreement on a Two</w:t>
            </w:r>
            <w:r w:rsidR="001B77CF">
              <w:noBreakHyphen/>
            </w:r>
            <w:r w:rsidRPr="00966BD4">
              <w:t xml:space="preserve">Pillar Solution to address the tax challenges arising from the digitalisation and globalisation of the economy. </w:t>
            </w:r>
          </w:p>
          <w:p w14:paraId="405FBDC2" w14:textId="11C61FFE" w:rsidR="0013697E" w:rsidRPr="00966BD4" w:rsidRDefault="0013697E" w:rsidP="00774E24">
            <w:pPr>
              <w:pStyle w:val="BoxText"/>
            </w:pPr>
            <w:r w:rsidRPr="00966BD4">
              <w:t xml:space="preserve">In this Budget, the Government is making progress on its election commitment to support this agreement by implementing the key </w:t>
            </w:r>
            <w:r w:rsidR="00731983" w:rsidRPr="00966BD4">
              <w:t>elements</w:t>
            </w:r>
            <w:r w:rsidRPr="00966BD4">
              <w:t xml:space="preserve"> of Pillar Two – the global minimum tax and a domestic minimum tax for large multinational enterprises. These rules seek to address the global </w:t>
            </w:r>
            <w:r w:rsidR="001B77CF">
              <w:t>‘</w:t>
            </w:r>
            <w:r w:rsidRPr="00966BD4">
              <w:t>race to the bottom</w:t>
            </w:r>
            <w:r w:rsidR="001B77CF">
              <w:t>’</w:t>
            </w:r>
            <w:r w:rsidRPr="00966BD4">
              <w:t xml:space="preserve"> on corporate taxes by introducing a global minimum effective tax rate of 15 per cent. This tax rate will apply on a jurisdictional basis to each </w:t>
            </w:r>
            <w:r w:rsidR="00747D11" w:rsidRPr="00966BD4">
              <w:t>multinational</w:t>
            </w:r>
            <w:r w:rsidRPr="00966BD4">
              <w:t xml:space="preserve"> </w:t>
            </w:r>
            <w:r w:rsidR="00443CFC" w:rsidRPr="00966BD4">
              <w:t>g</w:t>
            </w:r>
            <w:r w:rsidRPr="00966BD4">
              <w:t xml:space="preserve">roup with annual global revenue of at least EUR750 million (around AUD1.2 billion). </w:t>
            </w:r>
          </w:p>
          <w:p w14:paraId="5253E939" w14:textId="70DF2950" w:rsidR="00B94CA4" w:rsidRPr="00966BD4" w:rsidRDefault="0013697E" w:rsidP="00774E24">
            <w:pPr>
              <w:pStyle w:val="BoxText"/>
            </w:pPr>
            <w:r w:rsidRPr="00966BD4">
              <w:t xml:space="preserve">The global minimum tax and </w:t>
            </w:r>
            <w:r w:rsidR="001E2616" w:rsidRPr="00966BD4">
              <w:t>domestic minimum tax</w:t>
            </w:r>
            <w:r w:rsidRPr="00966BD4">
              <w:t xml:space="preserve"> will follow OECD implementation guidelines and not apply to investment funds, pension funds, government entities, international organisations, not</w:t>
            </w:r>
            <w:r w:rsidR="001B77CF">
              <w:noBreakHyphen/>
            </w:r>
            <w:r w:rsidRPr="00966BD4">
              <w:t>for</w:t>
            </w:r>
            <w:r w:rsidR="001B77CF">
              <w:noBreakHyphen/>
            </w:r>
            <w:r w:rsidRPr="00966BD4">
              <w:t xml:space="preserve">profit organisations, </w:t>
            </w:r>
            <w:r w:rsidR="00B5326B">
              <w:br/>
            </w:r>
            <w:r w:rsidRPr="00966BD4">
              <w:t>and income associated with international shipping</w:t>
            </w:r>
            <w:r w:rsidR="00045AD7" w:rsidRPr="00966BD4">
              <w:t xml:space="preserve">. </w:t>
            </w:r>
          </w:p>
          <w:p w14:paraId="305C9695" w14:textId="3CE2C272" w:rsidR="00B94CA4" w:rsidRPr="00966BD4" w:rsidRDefault="0013697E" w:rsidP="00774E24">
            <w:pPr>
              <w:pStyle w:val="BoxText"/>
            </w:pPr>
            <w:r w:rsidRPr="00966BD4">
              <w:t>Where the tax paid by a</w:t>
            </w:r>
            <w:r w:rsidR="009E1234" w:rsidRPr="00966BD4">
              <w:t xml:space="preserve"> </w:t>
            </w:r>
            <w:r w:rsidR="00673B2B" w:rsidRPr="00966BD4">
              <w:t xml:space="preserve">large </w:t>
            </w:r>
            <w:r w:rsidR="009E1234" w:rsidRPr="00966BD4">
              <w:t>multinational</w:t>
            </w:r>
            <w:r w:rsidRPr="00966BD4">
              <w:t xml:space="preserve"> in a jurisdiction does not reach the 15</w:t>
            </w:r>
            <w:r w:rsidR="000643BB" w:rsidRPr="00966BD4">
              <w:t> </w:t>
            </w:r>
            <w:r w:rsidRPr="00966BD4">
              <w:t>per cent global minimum effective tax rate, the rules determine an amount of top</w:t>
            </w:r>
            <w:r w:rsidR="001B77CF">
              <w:noBreakHyphen/>
            </w:r>
            <w:r w:rsidRPr="00966BD4">
              <w:t>up tax (Figure 5.</w:t>
            </w:r>
            <w:r w:rsidR="00FA376F" w:rsidRPr="00966BD4">
              <w:t>1</w:t>
            </w:r>
            <w:r w:rsidRPr="00966BD4">
              <w:t>)</w:t>
            </w:r>
            <w:r w:rsidR="00045AD7" w:rsidRPr="00966BD4">
              <w:t xml:space="preserve">. </w:t>
            </w:r>
            <w:r w:rsidRPr="00966BD4">
              <w:t>That amount is collected through either:</w:t>
            </w:r>
            <w:r w:rsidR="003D5CF7" w:rsidRPr="00966BD4">
              <w:t xml:space="preserve"> </w:t>
            </w:r>
          </w:p>
          <w:p w14:paraId="4E4963A7" w14:textId="105DE91E" w:rsidR="00BC4BB0" w:rsidRPr="00966BD4" w:rsidRDefault="003A3681" w:rsidP="00774E24">
            <w:pPr>
              <w:pStyle w:val="Bullet"/>
            </w:pPr>
            <w:r w:rsidRPr="00966BD4">
              <w:t xml:space="preserve">The </w:t>
            </w:r>
            <w:r w:rsidR="00CA744A" w:rsidRPr="00966BD4">
              <w:t>domestic minimum tax</w:t>
            </w:r>
            <w:r w:rsidRPr="00966BD4">
              <w:t xml:space="preserve"> which will allow Australia to collect any top</w:t>
            </w:r>
            <w:r w:rsidR="001B77CF">
              <w:noBreakHyphen/>
            </w:r>
            <w:r w:rsidRPr="00966BD4">
              <w:t>up tax on Australian profits</w:t>
            </w:r>
            <w:r w:rsidR="005E195D" w:rsidRPr="00966BD4">
              <w:t>, where the effective rate falls below 15 per cent</w:t>
            </w:r>
            <w:r w:rsidRPr="00966BD4">
              <w:t>.</w:t>
            </w:r>
          </w:p>
          <w:p w14:paraId="190E72C4" w14:textId="11F99EB7" w:rsidR="00455285" w:rsidRPr="00966BD4" w:rsidRDefault="00CD7E95" w:rsidP="00774E24">
            <w:pPr>
              <w:pStyle w:val="Bullet"/>
            </w:pPr>
            <w:r w:rsidRPr="00966BD4">
              <w:t>The Income Inclusion Rule which will allow Australia to collect any top</w:t>
            </w:r>
            <w:r w:rsidR="001B77CF">
              <w:noBreakHyphen/>
            </w:r>
            <w:r w:rsidRPr="00966BD4">
              <w:t xml:space="preserve">up tax on the undertaxed profits of </w:t>
            </w:r>
            <w:r w:rsidR="009E61F3" w:rsidRPr="00966BD4">
              <w:t>an Australian entity</w:t>
            </w:r>
            <w:r w:rsidR="001B77CF">
              <w:t>’</w:t>
            </w:r>
            <w:r w:rsidR="009E61F3" w:rsidRPr="00966BD4">
              <w:t xml:space="preserve">s </w:t>
            </w:r>
            <w:r w:rsidRPr="00966BD4">
              <w:t xml:space="preserve">foreign subsidiaries located in jurisdictions where no </w:t>
            </w:r>
            <w:r w:rsidR="0033376C" w:rsidRPr="00966BD4">
              <w:t>domestic minimum tax</w:t>
            </w:r>
            <w:r w:rsidRPr="00966BD4">
              <w:t xml:space="preserve"> is in place. If the Australian entity is a subsidiary of a foreign parent, Australia can only collect the top</w:t>
            </w:r>
            <w:r w:rsidR="001B77CF">
              <w:noBreakHyphen/>
            </w:r>
            <w:r w:rsidRPr="00966BD4">
              <w:t>up tax if the foreign parent</w:t>
            </w:r>
            <w:r w:rsidR="001B77CF">
              <w:t>’</w:t>
            </w:r>
            <w:r w:rsidRPr="00966BD4">
              <w:t xml:space="preserve">s jurisdiction has not implemented an </w:t>
            </w:r>
            <w:r w:rsidR="00431329" w:rsidRPr="00966BD4">
              <w:t>Income Inclusion Rule</w:t>
            </w:r>
            <w:r w:rsidRPr="00966BD4">
              <w:t>.</w:t>
            </w:r>
          </w:p>
          <w:p w14:paraId="086D51C6" w14:textId="39EFEC6A" w:rsidR="003A3681" w:rsidRPr="00966BD4" w:rsidRDefault="00BD64D0" w:rsidP="00774E24">
            <w:pPr>
              <w:pStyle w:val="Bullet"/>
            </w:pPr>
            <w:r w:rsidRPr="00966BD4">
              <w:t>The Undertaxed Profits Rule which will allow Australia to collect a proportion of any top</w:t>
            </w:r>
            <w:r w:rsidR="001B77CF">
              <w:noBreakHyphen/>
            </w:r>
            <w:r w:rsidRPr="00966BD4">
              <w:t>up tax on profits of a foreign</w:t>
            </w:r>
            <w:r w:rsidR="001B77CF">
              <w:noBreakHyphen/>
            </w:r>
            <w:r w:rsidRPr="00966BD4">
              <w:t xml:space="preserve">headquartered </w:t>
            </w:r>
            <w:r w:rsidR="001B15AD" w:rsidRPr="00966BD4">
              <w:t>multinational</w:t>
            </w:r>
            <w:r w:rsidRPr="00966BD4">
              <w:t xml:space="preserve"> if it has income in a jurisdiction which is being taxed below the global minimum rate of 15 per cent and where no </w:t>
            </w:r>
            <w:r w:rsidR="00F25AFA" w:rsidRPr="00966BD4">
              <w:t>Income Inclusion Rule</w:t>
            </w:r>
            <w:r w:rsidRPr="00966BD4">
              <w:t xml:space="preserve"> applies. The share of top</w:t>
            </w:r>
            <w:r w:rsidR="001B77CF">
              <w:noBreakHyphen/>
            </w:r>
            <w:r w:rsidRPr="00966BD4">
              <w:t xml:space="preserve">up tax that Australia will collect will be based on the proportion of the </w:t>
            </w:r>
            <w:r w:rsidR="00751548" w:rsidRPr="00966BD4">
              <w:t xml:space="preserve">large multinational </w:t>
            </w:r>
            <w:r w:rsidRPr="00966BD4">
              <w:t>group</w:t>
            </w:r>
            <w:r w:rsidR="001B77CF">
              <w:t>’</w:t>
            </w:r>
            <w:r w:rsidRPr="00966BD4">
              <w:t>s employees and value of tangible assets in Australia relative to other countries.</w:t>
            </w:r>
          </w:p>
          <w:p w14:paraId="77FC844D" w14:textId="1DDD2642" w:rsidR="00BC5969" w:rsidRPr="00E0267E" w:rsidRDefault="00286CB1" w:rsidP="00286CB1">
            <w:pPr>
              <w:pStyle w:val="Box-continuedon"/>
            </w:pPr>
            <w:proofErr w:type="gramStart"/>
            <w:r w:rsidRPr="00966BD4">
              <w:t>continued on</w:t>
            </w:r>
            <w:proofErr w:type="gramEnd"/>
            <w:r w:rsidRPr="00966BD4">
              <w:t xml:space="preserve"> next page</w:t>
            </w:r>
          </w:p>
        </w:tc>
      </w:tr>
      <w:tr w:rsidR="00177828" w:rsidRPr="00E0267E" w14:paraId="036D45D5" w14:textId="77777777" w:rsidTr="007913DD">
        <w:trPr>
          <w:cantSplit/>
        </w:trPr>
        <w:tc>
          <w:tcPr>
            <w:tcW w:w="5000" w:type="pct"/>
            <w:shd w:val="clear" w:color="auto" w:fill="E6F2FF"/>
          </w:tcPr>
          <w:p w14:paraId="17199F92" w14:textId="58D927EA" w:rsidR="00CA1234" w:rsidRPr="00966BD4" w:rsidRDefault="00CA1234" w:rsidP="00CA1234">
            <w:pPr>
              <w:pStyle w:val="BoxHeading"/>
            </w:pPr>
            <w:r w:rsidRPr="00966BD4">
              <w:lastRenderedPageBreak/>
              <w:t>Box 5.</w:t>
            </w:r>
            <w:r w:rsidR="005C22BF" w:rsidRPr="00966BD4">
              <w:t>1</w:t>
            </w:r>
            <w:r w:rsidRPr="00966BD4">
              <w:t xml:space="preserve"> Australia</w:t>
            </w:r>
            <w:r w:rsidR="001B77CF">
              <w:t>’</w:t>
            </w:r>
            <w:r w:rsidRPr="00966BD4">
              <w:t xml:space="preserve">s implementation of a global minimum tax and a domestic minimum tax, key </w:t>
            </w:r>
            <w:r w:rsidR="00AF678C" w:rsidRPr="00966BD4">
              <w:t>elements</w:t>
            </w:r>
            <w:r w:rsidRPr="00966BD4">
              <w:t xml:space="preserve"> of Pillar Two of the OECD/G20 multilateral agreement on global tax (continued)</w:t>
            </w:r>
          </w:p>
          <w:p w14:paraId="61871F5C" w14:textId="26523097" w:rsidR="00286CB1" w:rsidRPr="00966BD4" w:rsidRDefault="00286CB1" w:rsidP="00286CB1">
            <w:pPr>
              <w:pStyle w:val="BoxText"/>
              <w:spacing w:after="0"/>
              <w:rPr>
                <w:b/>
              </w:rPr>
            </w:pPr>
            <w:r w:rsidRPr="00966BD4">
              <w:t>Australia</w:t>
            </w:r>
            <w:r w:rsidR="001B77CF">
              <w:t>’</w:t>
            </w:r>
            <w:r w:rsidRPr="00966BD4">
              <w:t>s domestic minimum tax and Income Inclusion Rule will apply to income years commencing on or after 1 January 2024, while the Undertaxed Profits Rule will apply to income years commencing on or after 1 January 2025. The Government</w:t>
            </w:r>
            <w:r w:rsidR="001B77CF">
              <w:t>’</w:t>
            </w:r>
            <w:r w:rsidRPr="00966BD4">
              <w:t>s implementation of a global and domestic minimum tax is estimated to increase Australian tax receipts by $370 million over the 5 years from 2022</w:t>
            </w:r>
            <w:r w:rsidRPr="00966BD4">
              <w:rPr>
                <w:rFonts w:ascii="Calibri" w:hAnsi="Calibri" w:cs="Calibri"/>
              </w:rPr>
              <w:t>–</w:t>
            </w:r>
            <w:r w:rsidRPr="00966BD4">
              <w:t>23.</w:t>
            </w:r>
            <w:r w:rsidRPr="00966BD4">
              <w:rPr>
                <w:b/>
              </w:rPr>
              <w:t xml:space="preserve"> </w:t>
            </w:r>
          </w:p>
          <w:p w14:paraId="24AE462F" w14:textId="152C5827" w:rsidR="00972D3F" w:rsidRPr="00966BD4" w:rsidRDefault="00972D3F" w:rsidP="00FE28A1">
            <w:pPr>
              <w:pStyle w:val="BoxHeading"/>
            </w:pPr>
            <w:r w:rsidRPr="00966BD4">
              <w:rPr>
                <w:rFonts w:ascii="Book Antiqua" w:hAnsi="Book Antiqua"/>
                <w:b w:val="0"/>
                <w:sz w:val="19"/>
              </w:rPr>
              <w:t>The revenue gain over the medium term will be dependent on the response of other jurisdictions in implementing the</w:t>
            </w:r>
            <w:r w:rsidR="00EC6BFF" w:rsidRPr="00966BD4">
              <w:rPr>
                <w:rFonts w:ascii="Book Antiqua" w:hAnsi="Book Antiqua"/>
                <w:b w:val="0"/>
                <w:sz w:val="19"/>
              </w:rPr>
              <w:t>se</w:t>
            </w:r>
            <w:r w:rsidRPr="00966BD4">
              <w:rPr>
                <w:rFonts w:ascii="Book Antiqua" w:hAnsi="Book Antiqua"/>
                <w:b w:val="0"/>
                <w:sz w:val="19"/>
              </w:rPr>
              <w:t xml:space="preserve"> Rules, their own domestic minimum taxes, and behavioural responses by </w:t>
            </w:r>
            <w:r w:rsidR="002F60FC" w:rsidRPr="00966BD4">
              <w:rPr>
                <w:rFonts w:ascii="Book Antiqua" w:hAnsi="Book Antiqua"/>
                <w:b w:val="0"/>
                <w:sz w:val="19"/>
              </w:rPr>
              <w:t>multinational</w:t>
            </w:r>
            <w:r w:rsidRPr="00966BD4">
              <w:rPr>
                <w:rFonts w:ascii="Book Antiqua" w:hAnsi="Book Antiqua"/>
                <w:b w:val="0"/>
                <w:sz w:val="19"/>
              </w:rPr>
              <w:t xml:space="preserve"> groups.</w:t>
            </w:r>
          </w:p>
          <w:p w14:paraId="5E1E5C01" w14:textId="2F56472C" w:rsidR="00177828" w:rsidRPr="00966BD4" w:rsidRDefault="00177828" w:rsidP="00774E24">
            <w:pPr>
              <w:pStyle w:val="BoxText"/>
            </w:pPr>
            <w:r w:rsidRPr="00966BD4">
              <w:t>Australia will benefit from the global implementation of the</w:t>
            </w:r>
            <w:r w:rsidR="00EC6BFF" w:rsidRPr="00966BD4">
              <w:t>se</w:t>
            </w:r>
            <w:r w:rsidRPr="00966BD4">
              <w:t xml:space="preserve"> Rules and the lowering of the tax differential between Australia and other countries. Over time, this will make Australia a more attractive place to invest, boosting economic growth and tax revenue. It will also support Australian domestic businesses, by decreasing some of the tax advantages that are available to large </w:t>
            </w:r>
            <w:r w:rsidR="002F60FC" w:rsidRPr="00966BD4">
              <w:t>multinationals</w:t>
            </w:r>
            <w:r w:rsidRPr="00966BD4">
              <w:t xml:space="preserve">. </w:t>
            </w:r>
          </w:p>
          <w:p w14:paraId="4DBC6A2E" w14:textId="4ED3C3B3" w:rsidR="00177828" w:rsidRPr="00966BD4" w:rsidRDefault="00177828" w:rsidP="00177828">
            <w:pPr>
              <w:pStyle w:val="FigureHeading"/>
            </w:pPr>
            <w:r w:rsidRPr="00966BD4">
              <w:t>Figure 5.</w:t>
            </w:r>
            <w:r w:rsidR="00FE28A1" w:rsidRPr="00966BD4">
              <w:t>1</w:t>
            </w:r>
            <w:r w:rsidRPr="00966BD4">
              <w:t>: Calculating a</w:t>
            </w:r>
            <w:r w:rsidR="006A4E39" w:rsidRPr="00966BD4">
              <w:t>n undertaxed</w:t>
            </w:r>
            <w:r w:rsidR="002F60FC" w:rsidRPr="00966BD4">
              <w:t xml:space="preserve"> large multinational</w:t>
            </w:r>
            <w:r w:rsidRPr="00966BD4">
              <w:t xml:space="preserve"> group</w:t>
            </w:r>
            <w:r w:rsidR="001B77CF">
              <w:t>’</w:t>
            </w:r>
            <w:r w:rsidRPr="00966BD4">
              <w:t>s top</w:t>
            </w:r>
            <w:r w:rsidR="001B77CF">
              <w:noBreakHyphen/>
            </w:r>
            <w:r w:rsidRPr="00966BD4">
              <w:t>up tax liability on its operations in each jurisdiction</w:t>
            </w:r>
          </w:p>
          <w:p w14:paraId="04F0546A" w14:textId="1B5444EE" w:rsidR="00177828" w:rsidRPr="00966BD4" w:rsidRDefault="00F92BE7" w:rsidP="00774E24">
            <w:pPr>
              <w:pStyle w:val="BoxText"/>
            </w:pPr>
            <w:r w:rsidRPr="00966BD4">
              <w:rPr>
                <w:noProof/>
              </w:rPr>
              <w:drawing>
                <wp:inline distT="0" distB="0" distL="0" distR="0" wp14:anchorId="0AE50E45" wp14:editId="5FFA8441">
                  <wp:extent cx="4610100" cy="2034540"/>
                  <wp:effectExtent l="0" t="0" r="0" b="3810"/>
                  <wp:docPr id="5" name="Picture 5" descr="This infographic shows that the jurisdictional top-up tax liability of an undertaxed large multinational is the product of two factors. The first factor is the difference between the multinational’s adjusted financial accounting profits and a permitted fixed return on its labour and tangible assets. The second factor is the difference between 15 per cent and its effective tax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nfographic shows that the jurisdictional top-up tax liability of an undertaxed large multinational is the product of two factors. The first factor is the difference between the multinational’s adjusted financial accounting profits and a permitted fixed return on its labour and tangible assets. The second factor is the difference between 15 per cent and its effective tax rate.”"/>
                          <pic:cNvPicPr>
                            <a:picLocks noChangeAspect="1" noChangeArrowheads="1"/>
                          </pic:cNvPicPr>
                        </pic:nvPicPr>
                        <pic:blipFill rotWithShape="1">
                          <a:blip r:embed="rId21">
                            <a:extLst>
                              <a:ext uri="{28A0092B-C50C-407E-A947-70E740481C1C}">
                                <a14:useLocalDpi xmlns:a14="http://schemas.microsoft.com/office/drawing/2010/main" val="0"/>
                              </a:ext>
                            </a:extLst>
                          </a:blip>
                          <a:srcRect l="3307" r="2529"/>
                          <a:stretch/>
                        </pic:blipFill>
                        <pic:spPr bwMode="auto">
                          <a:xfrm>
                            <a:off x="0" y="0"/>
                            <a:ext cx="4610100" cy="2034540"/>
                          </a:xfrm>
                          <a:prstGeom prst="rect">
                            <a:avLst/>
                          </a:prstGeom>
                          <a:noFill/>
                          <a:ln>
                            <a:noFill/>
                          </a:ln>
                          <a:extLst>
                            <a:ext uri="{53640926-AAD7-44D8-BBD7-CCE9431645EC}">
                              <a14:shadowObscured xmlns:a14="http://schemas.microsoft.com/office/drawing/2010/main"/>
                            </a:ext>
                          </a:extLst>
                        </pic:spPr>
                      </pic:pic>
                    </a:graphicData>
                  </a:graphic>
                </wp:inline>
              </w:drawing>
            </w:r>
          </w:p>
          <w:p w14:paraId="65EE562F" w14:textId="595CD160" w:rsidR="00177828" w:rsidRPr="00E0267E" w:rsidRDefault="00177828" w:rsidP="00F27963">
            <w:pPr>
              <w:pStyle w:val="ChartandTableFootnote"/>
              <w:rPr>
                <w:color w:val="auto"/>
              </w:rPr>
            </w:pPr>
            <w:r w:rsidRPr="00966BD4">
              <w:rPr>
                <w:color w:val="auto"/>
              </w:rPr>
              <w:t xml:space="preserve">Source: </w:t>
            </w:r>
            <w:r w:rsidRPr="00966BD4">
              <w:rPr>
                <w:color w:val="auto"/>
              </w:rPr>
              <w:tab/>
              <w:t xml:space="preserve">OECD/G20 Inclusive Framework on </w:t>
            </w:r>
            <w:r w:rsidR="00B43EB4" w:rsidRPr="00966BD4">
              <w:rPr>
                <w:color w:val="auto"/>
              </w:rPr>
              <w:t>Base Erosion and Profit Shifting</w:t>
            </w:r>
            <w:r w:rsidRPr="00966BD4">
              <w:rPr>
                <w:color w:val="auto"/>
              </w:rPr>
              <w:t xml:space="preserve"> Pillar Two Global Anti</w:t>
            </w:r>
            <w:r w:rsidR="001B77CF">
              <w:rPr>
                <w:color w:val="auto"/>
              </w:rPr>
              <w:noBreakHyphen/>
            </w:r>
            <w:r w:rsidRPr="00966BD4">
              <w:rPr>
                <w:color w:val="auto"/>
              </w:rPr>
              <w:t>Base Erosion (</w:t>
            </w:r>
            <w:proofErr w:type="spellStart"/>
            <w:r w:rsidRPr="00966BD4">
              <w:rPr>
                <w:color w:val="auto"/>
              </w:rPr>
              <w:t>GloBE</w:t>
            </w:r>
            <w:proofErr w:type="spellEnd"/>
            <w:r w:rsidRPr="00966BD4">
              <w:rPr>
                <w:color w:val="auto"/>
              </w:rPr>
              <w:t>) Model Rules; Treasury</w:t>
            </w:r>
          </w:p>
        </w:tc>
      </w:tr>
    </w:tbl>
    <w:p w14:paraId="665DF52B" w14:textId="37CE4AC6" w:rsidR="00D907F8" w:rsidRPr="00E0267E" w:rsidRDefault="00D907F8" w:rsidP="005728C9">
      <w:r w:rsidRPr="00E0267E">
        <w:br w:type="page"/>
      </w:r>
    </w:p>
    <w:p w14:paraId="3D9368B5" w14:textId="528F2A76" w:rsidR="00D907F8" w:rsidRPr="00966BD4" w:rsidRDefault="00D907F8" w:rsidP="00D907F8">
      <w:pPr>
        <w:pStyle w:val="Heading4"/>
      </w:pPr>
      <w:bookmarkStart w:id="27" w:name="_Hlk115171063"/>
      <w:r w:rsidRPr="00966BD4">
        <w:lastRenderedPageBreak/>
        <w:t>Superannuation fund taxes</w:t>
      </w:r>
      <w:bookmarkEnd w:id="26"/>
    </w:p>
    <w:p w14:paraId="3882AD99" w14:textId="434D07E2" w:rsidR="0051256C" w:rsidRPr="00966BD4" w:rsidRDefault="00D907F8" w:rsidP="00774E24">
      <w:r w:rsidRPr="00966BD4">
        <w:t xml:space="preserve">Since </w:t>
      </w:r>
      <w:r w:rsidR="00CE1201" w:rsidRPr="00966BD4">
        <w:t>the October Budget</w:t>
      </w:r>
      <w:r w:rsidRPr="00966BD4">
        <w:t>, superannuation fund tax</w:t>
      </w:r>
      <w:r w:rsidR="00755F05" w:rsidRPr="00966BD4">
        <w:t>es</w:t>
      </w:r>
      <w:r w:rsidRPr="00966BD4">
        <w:t xml:space="preserve"> receipts have been revised down by $</w:t>
      </w:r>
      <w:r w:rsidR="00C32CED" w:rsidRPr="00966BD4">
        <w:t>3.</w:t>
      </w:r>
      <w:r w:rsidR="00686CC3" w:rsidRPr="00966BD4">
        <w:t>9</w:t>
      </w:r>
      <w:r w:rsidRPr="00966BD4" w:rsidDel="00A44EC8">
        <w:t> </w:t>
      </w:r>
      <w:r w:rsidRPr="00966BD4">
        <w:t>billion in 202</w:t>
      </w:r>
      <w:r w:rsidR="00296808" w:rsidRPr="00966BD4">
        <w:t>3</w:t>
      </w:r>
      <w:r w:rsidRPr="00966BD4">
        <w:t>–2</w:t>
      </w:r>
      <w:r w:rsidR="00296808" w:rsidRPr="00966BD4">
        <w:t>4</w:t>
      </w:r>
      <w:r w:rsidRPr="00966BD4">
        <w:t xml:space="preserve"> </w:t>
      </w:r>
      <w:r w:rsidR="00C92EDF" w:rsidRPr="00966BD4">
        <w:t>and</w:t>
      </w:r>
      <w:r w:rsidRPr="00966BD4">
        <w:t xml:space="preserve"> $</w:t>
      </w:r>
      <w:r w:rsidR="003C3720" w:rsidRPr="00966BD4">
        <w:t>6.5</w:t>
      </w:r>
      <w:r w:rsidRPr="00966BD4">
        <w:t xml:space="preserve"> billion across the </w:t>
      </w:r>
      <w:r w:rsidR="00AB079B" w:rsidRPr="00966BD4">
        <w:t>5</w:t>
      </w:r>
      <w:r w:rsidRPr="00966BD4" w:rsidDel="00AA1DBC">
        <w:t xml:space="preserve"> years </w:t>
      </w:r>
      <w:r w:rsidR="00605456" w:rsidRPr="00966BD4">
        <w:t>from 202</w:t>
      </w:r>
      <w:r w:rsidR="00825B55" w:rsidRPr="00966BD4">
        <w:t>2–2</w:t>
      </w:r>
      <w:r w:rsidR="00605456" w:rsidRPr="00966BD4">
        <w:t xml:space="preserve">3 </w:t>
      </w:r>
      <w:r w:rsidRPr="00966BD4" w:rsidDel="00AA1DBC">
        <w:t xml:space="preserve">to </w:t>
      </w:r>
      <w:r w:rsidRPr="00966BD4">
        <w:t>202</w:t>
      </w:r>
      <w:r w:rsidR="00296808" w:rsidRPr="00966BD4">
        <w:t>6</w:t>
      </w:r>
      <w:r w:rsidRPr="00966BD4">
        <w:t>–2</w:t>
      </w:r>
      <w:r w:rsidR="00296808" w:rsidRPr="00966BD4">
        <w:t>7</w:t>
      </w:r>
      <w:r w:rsidRPr="00966BD4">
        <w:t xml:space="preserve">. </w:t>
      </w:r>
      <w:r w:rsidR="008A217D" w:rsidRPr="00966BD4">
        <w:t>Receipts from superannuation fund taxes are expected to continue to be volatile</w:t>
      </w:r>
      <w:r w:rsidR="00CC62CE" w:rsidRPr="00966BD4">
        <w:t xml:space="preserve">. </w:t>
      </w:r>
      <w:r w:rsidRPr="00966BD4">
        <w:t>Year</w:t>
      </w:r>
      <w:r w:rsidR="001B77CF">
        <w:noBreakHyphen/>
      </w:r>
      <w:r w:rsidRPr="00966BD4">
        <w:t>on</w:t>
      </w:r>
      <w:r w:rsidR="001B77CF">
        <w:noBreakHyphen/>
      </w:r>
      <w:r w:rsidRPr="00966BD4">
        <w:t xml:space="preserve">year, </w:t>
      </w:r>
      <w:r w:rsidR="007662EE">
        <w:br/>
      </w:r>
      <w:r w:rsidRPr="00966BD4">
        <w:t xml:space="preserve">tax receipts from superannuation funds are expected </w:t>
      </w:r>
      <w:r w:rsidR="00AF68BD" w:rsidRPr="00966BD4">
        <w:t>to</w:t>
      </w:r>
      <w:r w:rsidRPr="00966BD4">
        <w:t xml:space="preserve"> </w:t>
      </w:r>
      <w:r w:rsidR="00CC62CE" w:rsidRPr="00966BD4">
        <w:t xml:space="preserve">fall </w:t>
      </w:r>
      <w:r w:rsidR="0005146F" w:rsidRPr="00966BD4">
        <w:t xml:space="preserve">by </w:t>
      </w:r>
      <w:r w:rsidR="0015751A" w:rsidRPr="00966BD4">
        <w:t>63.</w:t>
      </w:r>
      <w:r w:rsidR="007B09BB" w:rsidRPr="00966BD4">
        <w:t>8</w:t>
      </w:r>
      <w:r w:rsidR="0005146F" w:rsidRPr="00966BD4">
        <w:t xml:space="preserve"> per cent in 2022</w:t>
      </w:r>
      <w:r w:rsidR="00971F6C" w:rsidRPr="00966BD4">
        <w:t>–</w:t>
      </w:r>
      <w:r w:rsidR="0005146F" w:rsidRPr="00966BD4" w:rsidDel="00605456">
        <w:t>23</w:t>
      </w:r>
      <w:r w:rsidR="00605456" w:rsidRPr="00966BD4">
        <w:t xml:space="preserve"> </w:t>
      </w:r>
      <w:r w:rsidR="007662EE">
        <w:br/>
      </w:r>
      <w:r w:rsidR="00605456" w:rsidRPr="00966BD4">
        <w:t>but</w:t>
      </w:r>
      <w:r w:rsidR="00AF68BD" w:rsidRPr="00966BD4">
        <w:t xml:space="preserve"> </w:t>
      </w:r>
      <w:r w:rsidR="00531BA3" w:rsidRPr="00966BD4">
        <w:t xml:space="preserve">rise </w:t>
      </w:r>
      <w:r w:rsidR="007A5DA1" w:rsidRPr="00966BD4">
        <w:t>7</w:t>
      </w:r>
      <w:r w:rsidR="007B09BB" w:rsidRPr="00966BD4">
        <w:t>2</w:t>
      </w:r>
      <w:r w:rsidR="007A5DA1" w:rsidRPr="00966BD4">
        <w:t>.</w:t>
      </w:r>
      <w:r w:rsidR="007B09BB" w:rsidRPr="00966BD4">
        <w:t>3</w:t>
      </w:r>
      <w:r w:rsidR="00971F6C" w:rsidRPr="00966BD4">
        <w:t> </w:t>
      </w:r>
      <w:r w:rsidR="00531BA3" w:rsidRPr="00966BD4">
        <w:t>per</w:t>
      </w:r>
      <w:r w:rsidR="00971F6C" w:rsidRPr="00966BD4">
        <w:t> </w:t>
      </w:r>
      <w:r w:rsidR="00531BA3" w:rsidRPr="00966BD4">
        <w:t>cent in 2023</w:t>
      </w:r>
      <w:r w:rsidR="00971F6C" w:rsidRPr="00966BD4">
        <w:t>–</w:t>
      </w:r>
      <w:r w:rsidR="00531BA3" w:rsidRPr="00966BD4">
        <w:t xml:space="preserve">24 and </w:t>
      </w:r>
      <w:r w:rsidR="00FC312D" w:rsidRPr="00966BD4">
        <w:t>40.</w:t>
      </w:r>
      <w:r w:rsidR="001E261A" w:rsidRPr="00966BD4">
        <w:t>5</w:t>
      </w:r>
      <w:r w:rsidR="00531BA3" w:rsidRPr="00966BD4">
        <w:t xml:space="preserve"> per cent in 2024</w:t>
      </w:r>
      <w:r w:rsidR="00971F6C" w:rsidRPr="00966BD4">
        <w:t>–</w:t>
      </w:r>
      <w:r w:rsidR="00531BA3" w:rsidRPr="00966BD4">
        <w:t>25.</w:t>
      </w:r>
      <w:r w:rsidR="00BD1AFB" w:rsidRPr="00966BD4">
        <w:t xml:space="preserve"> </w:t>
      </w:r>
    </w:p>
    <w:p w14:paraId="1A8C15D6" w14:textId="54B930E7" w:rsidR="000F0D0C" w:rsidRPr="00966BD4" w:rsidRDefault="00812BC8" w:rsidP="00774E24">
      <w:r w:rsidRPr="00966BD4">
        <w:t xml:space="preserve">Excluding new policy decisions, </w:t>
      </w:r>
      <w:r w:rsidR="002E0A28" w:rsidRPr="00966BD4">
        <w:t xml:space="preserve">superannuation fund taxes </w:t>
      </w:r>
      <w:r w:rsidRPr="00966BD4">
        <w:t>ha</w:t>
      </w:r>
      <w:r w:rsidR="002E0A28" w:rsidRPr="00966BD4">
        <w:t>ve</w:t>
      </w:r>
      <w:r w:rsidRPr="00966BD4">
        <w:t xml:space="preserve"> been revised </w:t>
      </w:r>
      <w:r w:rsidR="002976E4" w:rsidRPr="00966BD4">
        <w:t>down</w:t>
      </w:r>
      <w:r w:rsidRPr="00966BD4">
        <w:t xml:space="preserve"> </w:t>
      </w:r>
      <w:r w:rsidR="00416E16">
        <w:br/>
      </w:r>
      <w:r w:rsidRPr="00966BD4">
        <w:t>by $</w:t>
      </w:r>
      <w:r w:rsidR="00455A86" w:rsidRPr="00966BD4">
        <w:t>3.</w:t>
      </w:r>
      <w:r w:rsidR="00DE5845" w:rsidRPr="00966BD4">
        <w:t>8</w:t>
      </w:r>
      <w:r w:rsidRPr="00966BD4">
        <w:t xml:space="preserve"> billion in </w:t>
      </w:r>
      <w:r w:rsidR="00825B55" w:rsidRPr="00966BD4">
        <w:t>2023–2</w:t>
      </w:r>
      <w:r w:rsidRPr="00966BD4">
        <w:t>4 and $</w:t>
      </w:r>
      <w:r w:rsidR="0066363E" w:rsidRPr="00966BD4">
        <w:t>7.4</w:t>
      </w:r>
      <w:r w:rsidRPr="00966BD4">
        <w:t xml:space="preserve"> billion over the 5 years </w:t>
      </w:r>
      <w:r w:rsidR="00605456" w:rsidRPr="00966BD4">
        <w:t>from 202</w:t>
      </w:r>
      <w:r w:rsidR="00825B55" w:rsidRPr="00966BD4">
        <w:t>2–2</w:t>
      </w:r>
      <w:r w:rsidR="00605456" w:rsidRPr="00966BD4">
        <w:t xml:space="preserve">3 </w:t>
      </w:r>
      <w:r w:rsidRPr="00966BD4">
        <w:t xml:space="preserve">to </w:t>
      </w:r>
      <w:r w:rsidR="00825B55" w:rsidRPr="00966BD4">
        <w:t>2026–</w:t>
      </w:r>
      <w:r w:rsidR="00EC1DBD" w:rsidRPr="00966BD4">
        <w:t>27.</w:t>
      </w:r>
      <w:r w:rsidRPr="00966BD4">
        <w:t xml:space="preserve"> </w:t>
      </w:r>
      <w:r w:rsidR="00AD1215" w:rsidRPr="00966BD4">
        <w:t>Sup</w:t>
      </w:r>
      <w:r w:rsidR="0084226B" w:rsidRPr="00966BD4">
        <w:t>erannuation fund taxes have been revised down in 2022</w:t>
      </w:r>
      <w:r w:rsidR="00971F6C" w:rsidRPr="00966BD4">
        <w:t>–</w:t>
      </w:r>
      <w:r w:rsidR="0084226B" w:rsidRPr="00966BD4">
        <w:t>23 in line with weaker fund earnings</w:t>
      </w:r>
      <w:r w:rsidR="00C92AF2" w:rsidRPr="00966BD4">
        <w:t xml:space="preserve"> and</w:t>
      </w:r>
      <w:r w:rsidR="00767335" w:rsidRPr="00966BD4">
        <w:t xml:space="preserve"> higher</w:t>
      </w:r>
      <w:r w:rsidR="001B77CF">
        <w:noBreakHyphen/>
      </w:r>
      <w:r w:rsidR="00767335" w:rsidRPr="00966BD4">
        <w:t>than</w:t>
      </w:r>
      <w:r w:rsidR="001B77CF">
        <w:noBreakHyphen/>
      </w:r>
      <w:r w:rsidR="00767335" w:rsidRPr="00966BD4">
        <w:t>expected refunds</w:t>
      </w:r>
      <w:r w:rsidR="00382BC1" w:rsidRPr="00966BD4">
        <w:t>,</w:t>
      </w:r>
      <w:r w:rsidR="00767335" w:rsidRPr="00966BD4">
        <w:t xml:space="preserve"> </w:t>
      </w:r>
      <w:proofErr w:type="gramStart"/>
      <w:r w:rsidR="00E57A50" w:rsidRPr="00966BD4">
        <w:t>that</w:t>
      </w:r>
      <w:proofErr w:type="gramEnd"/>
      <w:r w:rsidR="00C92AF2" w:rsidRPr="00966BD4">
        <w:t xml:space="preserve"> have </w:t>
      </w:r>
      <w:r w:rsidR="00CD1871" w:rsidRPr="00966BD4">
        <w:t xml:space="preserve">resulted in </w:t>
      </w:r>
      <w:r w:rsidR="00E42D31" w:rsidRPr="00966BD4">
        <w:t>substantial</w:t>
      </w:r>
      <w:r w:rsidR="005040D9" w:rsidRPr="00966BD4">
        <w:t xml:space="preserve"> downward revisions to instalment rates for large funds. </w:t>
      </w:r>
      <w:r w:rsidR="00DC4E39" w:rsidRPr="00966BD4">
        <w:t xml:space="preserve">While </w:t>
      </w:r>
      <w:r w:rsidR="00345F83" w:rsidRPr="00966BD4">
        <w:t xml:space="preserve">instalment </w:t>
      </w:r>
      <w:r w:rsidR="00D9623E" w:rsidRPr="00966BD4">
        <w:t>rates are expected to recover</w:t>
      </w:r>
      <w:r w:rsidR="00A17A31" w:rsidRPr="00966BD4">
        <w:t xml:space="preserve">, leading to </w:t>
      </w:r>
      <w:r w:rsidR="00F37D62" w:rsidRPr="00966BD4">
        <w:t xml:space="preserve">an increase in </w:t>
      </w:r>
      <w:r w:rsidR="0038116F" w:rsidRPr="00966BD4">
        <w:t>receipts in 2024</w:t>
      </w:r>
      <w:r w:rsidR="00971F6C" w:rsidRPr="00966BD4">
        <w:t>–</w:t>
      </w:r>
      <w:r w:rsidR="0038116F" w:rsidRPr="00966BD4">
        <w:t>25, weakness is</w:t>
      </w:r>
      <w:r w:rsidR="00EF2AF8" w:rsidRPr="00966BD4">
        <w:t xml:space="preserve"> expected to persist due to </w:t>
      </w:r>
      <w:r w:rsidR="008E0B6E" w:rsidRPr="00966BD4">
        <w:t>s</w:t>
      </w:r>
      <w:r w:rsidR="000F0D0C" w:rsidRPr="00966BD4">
        <w:t>trength in the outlook for dividends and franking credits</w:t>
      </w:r>
      <w:r w:rsidR="003679B6" w:rsidRPr="00966BD4">
        <w:t xml:space="preserve">, </w:t>
      </w:r>
      <w:r w:rsidR="007431BD" w:rsidRPr="00966BD4">
        <w:t xml:space="preserve">which reduces tax receipts. </w:t>
      </w:r>
      <w:r w:rsidR="000234EB" w:rsidRPr="00966BD4">
        <w:t xml:space="preserve">This is </w:t>
      </w:r>
      <w:r w:rsidR="00462C56" w:rsidRPr="00966BD4" w:rsidDel="00D24FFB">
        <w:t>partly</w:t>
      </w:r>
      <w:r w:rsidR="00462C56" w:rsidRPr="00966BD4">
        <w:t xml:space="preserve"> </w:t>
      </w:r>
      <w:r w:rsidR="00D73C2B" w:rsidRPr="00966BD4">
        <w:t>offs</w:t>
      </w:r>
      <w:r w:rsidR="00F77C69" w:rsidRPr="00966BD4">
        <w:t xml:space="preserve">et </w:t>
      </w:r>
      <w:r w:rsidR="00CE0507" w:rsidRPr="00966BD4">
        <w:t xml:space="preserve">by higher contributions </w:t>
      </w:r>
      <w:r w:rsidR="00E12D7B" w:rsidRPr="00966BD4">
        <w:t>due to</w:t>
      </w:r>
      <w:r w:rsidR="00D24FFB" w:rsidRPr="00966BD4">
        <w:t xml:space="preserve"> </w:t>
      </w:r>
      <w:r w:rsidR="00EF2AF8" w:rsidRPr="00966BD4">
        <w:t xml:space="preserve">the strong </w:t>
      </w:r>
      <w:r w:rsidR="00D24FFB" w:rsidRPr="00966BD4">
        <w:t>labour market</w:t>
      </w:r>
      <w:r w:rsidR="00FB2829" w:rsidRPr="00966BD4">
        <w:t>.</w:t>
      </w:r>
      <w:r w:rsidR="000F0D0C" w:rsidRPr="00966BD4" w:rsidDel="00F93772">
        <w:t xml:space="preserve"> </w:t>
      </w:r>
    </w:p>
    <w:p w14:paraId="5F4B9A58" w14:textId="3A7FC401" w:rsidR="00B2611A" w:rsidRPr="00E0267E" w:rsidRDefault="00B2611A" w:rsidP="00774E24">
      <w:r w:rsidRPr="00E0267E">
        <w:t>New tax policy measures announced since the October Budget are expected to decrease superannuation fund tax</w:t>
      </w:r>
      <w:r w:rsidR="00B734CF" w:rsidRPr="00E0267E">
        <w:t>es</w:t>
      </w:r>
      <w:r w:rsidRPr="00E0267E">
        <w:t xml:space="preserve"> receipts by $6</w:t>
      </w:r>
      <w:r w:rsidR="00E76DB5" w:rsidRPr="00E0267E">
        <w:t>6.</w:t>
      </w:r>
      <w:r w:rsidRPr="00E0267E" w:rsidDel="00E76DB5">
        <w:t>7</w:t>
      </w:r>
      <w:r w:rsidRPr="00E0267E">
        <w:t xml:space="preserve"> million in </w:t>
      </w:r>
      <w:r w:rsidR="00825B55" w:rsidRPr="00E0267E">
        <w:t>2023–2</w:t>
      </w:r>
      <w:r w:rsidRPr="00E0267E">
        <w:t>4 but increase superannuation fund tax</w:t>
      </w:r>
      <w:r w:rsidR="00B734CF" w:rsidRPr="00E0267E">
        <w:t>es</w:t>
      </w:r>
      <w:r w:rsidRPr="00E0267E">
        <w:t xml:space="preserve"> receipts by $870</w:t>
      </w:r>
      <w:r w:rsidR="004E6D0F" w:rsidRPr="00E0267E">
        <w:t>.3</w:t>
      </w:r>
      <w:r w:rsidRPr="00E0267E">
        <w:t xml:space="preserve"> million over the </w:t>
      </w:r>
      <w:r w:rsidR="00825B55" w:rsidRPr="00E0267E">
        <w:t>5</w:t>
      </w:r>
      <w:r w:rsidRPr="00E0267E">
        <w:t xml:space="preserve"> years </w:t>
      </w:r>
      <w:r w:rsidR="005343B8" w:rsidRPr="00E0267E">
        <w:t>from 202</w:t>
      </w:r>
      <w:r w:rsidR="00825B55" w:rsidRPr="00E0267E">
        <w:t>2–2</w:t>
      </w:r>
      <w:r w:rsidR="005343B8" w:rsidRPr="00E0267E">
        <w:t>3</w:t>
      </w:r>
      <w:r w:rsidRPr="00E0267E">
        <w:t xml:space="preserve"> to </w:t>
      </w:r>
      <w:r w:rsidR="00825B55" w:rsidRPr="00E0267E">
        <w:t>2026–</w:t>
      </w:r>
      <w:r w:rsidR="00EC1DBD" w:rsidRPr="00E0267E">
        <w:t>27.</w:t>
      </w:r>
      <w:r w:rsidRPr="00E0267E">
        <w:t xml:space="preserve"> </w:t>
      </w:r>
      <w:r w:rsidR="00A471C6">
        <w:t>This is largely driven by</w:t>
      </w:r>
      <w:r w:rsidRPr="00E0267E">
        <w:t>:</w:t>
      </w:r>
    </w:p>
    <w:p w14:paraId="726CF9EF" w14:textId="57999897" w:rsidR="00B2611A" w:rsidRPr="00E0267E" w:rsidRDefault="00B2611A" w:rsidP="000643BB">
      <w:pPr>
        <w:pStyle w:val="Bullet"/>
      </w:pPr>
      <w:r w:rsidRPr="00966BD4">
        <w:t xml:space="preserve">The </w:t>
      </w:r>
      <w:r w:rsidRPr="00966BD4">
        <w:rPr>
          <w:i/>
        </w:rPr>
        <w:t>Securing Australians</w:t>
      </w:r>
      <w:r w:rsidR="001B77CF">
        <w:rPr>
          <w:i/>
        </w:rPr>
        <w:t>’</w:t>
      </w:r>
      <w:r w:rsidRPr="00966BD4">
        <w:rPr>
          <w:i/>
        </w:rPr>
        <w:t xml:space="preserve"> Superannuation Package – </w:t>
      </w:r>
      <w:r w:rsidR="00B35A21" w:rsidRPr="00966BD4">
        <w:rPr>
          <w:i/>
        </w:rPr>
        <w:t>i</w:t>
      </w:r>
      <w:r w:rsidRPr="00966BD4">
        <w:rPr>
          <w:i/>
        </w:rPr>
        <w:t xml:space="preserve">ncreasing the payment frequency of the Superannuation Guarantee (SG) and </w:t>
      </w:r>
      <w:r w:rsidR="00597DC5" w:rsidRPr="00966BD4">
        <w:rPr>
          <w:i/>
        </w:rPr>
        <w:t>i</w:t>
      </w:r>
      <w:r w:rsidRPr="00966BD4">
        <w:rPr>
          <w:i/>
        </w:rPr>
        <w:t>nvesting in SG compliance</w:t>
      </w:r>
      <w:r w:rsidRPr="00966BD4">
        <w:t xml:space="preserve"> measure is expected to have no impact on receipts</w:t>
      </w:r>
      <w:r w:rsidR="000643BB" w:rsidRPr="00966BD4">
        <w:t xml:space="preserve"> </w:t>
      </w:r>
      <w:r w:rsidRPr="00966BD4">
        <w:t xml:space="preserve">in </w:t>
      </w:r>
      <w:r w:rsidR="00825B55" w:rsidRPr="00966BD4">
        <w:t>2023–2</w:t>
      </w:r>
      <w:r w:rsidRPr="00966BD4">
        <w:t>4 but to increase superannuation fund taxes by $1.2</w:t>
      </w:r>
      <w:r w:rsidR="00E251D6" w:rsidRPr="00966BD4">
        <w:t> </w:t>
      </w:r>
      <w:r w:rsidRPr="00966BD4">
        <w:t xml:space="preserve">billion over the </w:t>
      </w:r>
      <w:r w:rsidR="00825B55" w:rsidRPr="00966BD4">
        <w:t>5</w:t>
      </w:r>
      <w:r w:rsidRPr="00966BD4">
        <w:t xml:space="preserve"> years </w:t>
      </w:r>
      <w:r w:rsidR="005343B8" w:rsidRPr="00966BD4">
        <w:t>from 202</w:t>
      </w:r>
      <w:r w:rsidR="00825B55" w:rsidRPr="00966BD4">
        <w:t>2–2</w:t>
      </w:r>
      <w:r w:rsidR="005343B8" w:rsidRPr="00966BD4">
        <w:t>3</w:t>
      </w:r>
      <w:r w:rsidRPr="00966BD4">
        <w:t xml:space="preserve"> to </w:t>
      </w:r>
      <w:r w:rsidR="00825B55" w:rsidRPr="00966BD4">
        <w:t>2026–27</w:t>
      </w:r>
      <w:r w:rsidRPr="00966BD4">
        <w:t>.</w:t>
      </w:r>
    </w:p>
    <w:p w14:paraId="17ACEDFA" w14:textId="1746B8D8" w:rsidR="00D907F8" w:rsidRPr="00966BD4" w:rsidRDefault="00D907F8" w:rsidP="00D907F8">
      <w:pPr>
        <w:pStyle w:val="Heading4"/>
      </w:pPr>
      <w:bookmarkStart w:id="28" w:name="_Toc67658751"/>
      <w:bookmarkStart w:id="29" w:name="_Toc512338384"/>
      <w:bookmarkEnd w:id="27"/>
      <w:r w:rsidRPr="00966BD4">
        <w:t>Petroleum resource rent tax (PRRT)</w:t>
      </w:r>
      <w:bookmarkEnd w:id="28"/>
    </w:p>
    <w:bookmarkEnd w:id="29"/>
    <w:p w14:paraId="66F93124" w14:textId="17D1479F" w:rsidR="00787EED" w:rsidRPr="00966BD4" w:rsidRDefault="00D907F8" w:rsidP="00774E24">
      <w:r w:rsidRPr="00966BD4">
        <w:t xml:space="preserve">Since </w:t>
      </w:r>
      <w:r w:rsidR="008B067E" w:rsidRPr="00966BD4">
        <w:t>the October budget</w:t>
      </w:r>
      <w:r w:rsidRPr="00966BD4">
        <w:t xml:space="preserve">, PRRT receipts have been revised </w:t>
      </w:r>
      <w:r w:rsidR="00AA2872" w:rsidRPr="00966BD4">
        <w:t>up</w:t>
      </w:r>
      <w:r w:rsidRPr="00966BD4">
        <w:t xml:space="preserve"> by $</w:t>
      </w:r>
      <w:r w:rsidR="00854326" w:rsidRPr="00966BD4">
        <w:t>300</w:t>
      </w:r>
      <w:r w:rsidR="00EF34E8" w:rsidRPr="00966BD4">
        <w:t>.0</w:t>
      </w:r>
      <w:r w:rsidR="00854326" w:rsidRPr="00966BD4">
        <w:t xml:space="preserve"> </w:t>
      </w:r>
      <w:r w:rsidRPr="00966BD4">
        <w:t>million in 202</w:t>
      </w:r>
      <w:r w:rsidR="008B067E" w:rsidRPr="00966BD4">
        <w:t>3</w:t>
      </w:r>
      <w:r w:rsidR="00971F6C" w:rsidRPr="00966BD4">
        <w:t>–</w:t>
      </w:r>
      <w:r w:rsidRPr="00966BD4">
        <w:t>2</w:t>
      </w:r>
      <w:r w:rsidR="008B067E" w:rsidRPr="00966BD4">
        <w:t>4</w:t>
      </w:r>
      <w:r w:rsidR="0031625C" w:rsidRPr="00966BD4">
        <w:t xml:space="preserve"> and</w:t>
      </w:r>
      <w:r w:rsidRPr="00966BD4">
        <w:t xml:space="preserve"> $</w:t>
      </w:r>
      <w:r w:rsidR="00854326" w:rsidRPr="00966BD4">
        <w:t>2</w:t>
      </w:r>
      <w:r w:rsidR="00623231" w:rsidRPr="00966BD4">
        <w:t>.0</w:t>
      </w:r>
      <w:r w:rsidR="00805E7F" w:rsidRPr="00966BD4">
        <w:t> </w:t>
      </w:r>
      <w:r w:rsidR="00854326" w:rsidRPr="00966BD4">
        <w:t>b</w:t>
      </w:r>
      <w:r w:rsidRPr="00966BD4">
        <w:t xml:space="preserve">illion over the </w:t>
      </w:r>
      <w:r w:rsidR="00481935" w:rsidRPr="00966BD4">
        <w:t>5</w:t>
      </w:r>
      <w:r w:rsidRPr="00966BD4">
        <w:t xml:space="preserve"> years </w:t>
      </w:r>
      <w:r w:rsidR="00C75A21" w:rsidRPr="00966BD4">
        <w:t>from 202</w:t>
      </w:r>
      <w:r w:rsidR="00825B55" w:rsidRPr="00966BD4">
        <w:t>2–2</w:t>
      </w:r>
      <w:r w:rsidR="00C75A21" w:rsidRPr="00966BD4">
        <w:t xml:space="preserve">3 </w:t>
      </w:r>
      <w:r w:rsidRPr="00966BD4">
        <w:t>to 202</w:t>
      </w:r>
      <w:r w:rsidR="008B067E" w:rsidRPr="00966BD4">
        <w:t>6</w:t>
      </w:r>
      <w:r w:rsidRPr="00966BD4">
        <w:t>–2</w:t>
      </w:r>
      <w:r w:rsidR="008B067E" w:rsidRPr="00966BD4">
        <w:t>7</w:t>
      </w:r>
      <w:r w:rsidRPr="00966BD4">
        <w:t xml:space="preserve">. </w:t>
      </w:r>
    </w:p>
    <w:p w14:paraId="603259FF" w14:textId="19D50816" w:rsidR="00D907F8" w:rsidRPr="00966BD4" w:rsidRDefault="00787EED" w:rsidP="00774E24">
      <w:r w:rsidRPr="00966BD4">
        <w:t>Excluding new policy decision</w:t>
      </w:r>
      <w:r w:rsidR="00833AE5" w:rsidRPr="00966BD4">
        <w:t>s</w:t>
      </w:r>
      <w:r w:rsidRPr="00966BD4">
        <w:t xml:space="preserve">, PRRT receipts have been revised down by </w:t>
      </w:r>
      <w:r w:rsidR="00E630F6" w:rsidRPr="00966BD4">
        <w:t xml:space="preserve">$300.0 million in </w:t>
      </w:r>
      <w:r w:rsidR="00825B55" w:rsidRPr="00966BD4">
        <w:t>2023–2</w:t>
      </w:r>
      <w:r w:rsidR="00E630F6" w:rsidRPr="00966BD4">
        <w:t xml:space="preserve">4 and </w:t>
      </w:r>
      <w:r w:rsidR="00833AE5" w:rsidRPr="00966BD4">
        <w:t>$1.3 billion over the 5 years from 202</w:t>
      </w:r>
      <w:r w:rsidR="00825B55" w:rsidRPr="00966BD4">
        <w:t>2–2</w:t>
      </w:r>
      <w:r w:rsidR="00833AE5" w:rsidRPr="00966BD4">
        <w:t xml:space="preserve">3 to </w:t>
      </w:r>
      <w:r w:rsidR="00825B55" w:rsidRPr="00966BD4">
        <w:t>2026–27</w:t>
      </w:r>
      <w:r w:rsidR="00833AE5" w:rsidRPr="00966BD4">
        <w:t xml:space="preserve">. </w:t>
      </w:r>
      <w:r w:rsidR="00F71CA3" w:rsidRPr="00966BD4">
        <w:t>The</w:t>
      </w:r>
      <w:r w:rsidR="007D5C63" w:rsidRPr="00966BD4">
        <w:t xml:space="preserve"> downgrade</w:t>
      </w:r>
      <w:r w:rsidR="00F71CA3" w:rsidRPr="00966BD4">
        <w:t xml:space="preserve"> reflects </w:t>
      </w:r>
      <w:r w:rsidR="005A2865" w:rsidRPr="00966BD4">
        <w:t>a deterioration in the outlook for oil and gas prices</w:t>
      </w:r>
      <w:r w:rsidR="007D5C63" w:rsidRPr="00966BD4">
        <w:t xml:space="preserve"> since the October Budget. </w:t>
      </w:r>
      <w:r w:rsidR="001C26F9">
        <w:br/>
      </w:r>
      <w:r w:rsidR="007D5C63" w:rsidRPr="00966BD4">
        <w:t>O</w:t>
      </w:r>
      <w:r w:rsidR="007E608E" w:rsidRPr="00966BD4">
        <w:t xml:space="preserve">il prices </w:t>
      </w:r>
      <w:r w:rsidR="00B91F52" w:rsidRPr="00966BD4">
        <w:t xml:space="preserve">have </w:t>
      </w:r>
      <w:r w:rsidR="00B754DA" w:rsidRPr="00966BD4">
        <w:t>fallen</w:t>
      </w:r>
      <w:r w:rsidR="00B91F52" w:rsidRPr="00966BD4">
        <w:t xml:space="preserve"> </w:t>
      </w:r>
      <w:r w:rsidR="009A4E2A" w:rsidRPr="00966BD4">
        <w:t>since</w:t>
      </w:r>
      <w:r w:rsidR="00BE4C7F" w:rsidRPr="00966BD4">
        <w:t xml:space="preserve"> the October Budget</w:t>
      </w:r>
      <w:r w:rsidR="00790EA3" w:rsidRPr="00966BD4">
        <w:t xml:space="preserve"> and are </w:t>
      </w:r>
      <w:r w:rsidR="00CE670A" w:rsidRPr="00966BD4">
        <w:t xml:space="preserve">assumed to </w:t>
      </w:r>
      <w:r w:rsidR="00BE4C7F" w:rsidRPr="00966BD4">
        <w:t xml:space="preserve">be lower across </w:t>
      </w:r>
      <w:r w:rsidR="001C26F9">
        <w:br/>
      </w:r>
      <w:r w:rsidR="00BE4C7F" w:rsidRPr="00966BD4">
        <w:t>the forward estimates.</w:t>
      </w:r>
    </w:p>
    <w:p w14:paraId="0E3E79A3" w14:textId="2AE1109A" w:rsidR="00BF1A9F" w:rsidRPr="00E0267E" w:rsidRDefault="00BF1A9F" w:rsidP="00774E24">
      <w:pPr>
        <w:rPr>
          <w:i/>
        </w:rPr>
      </w:pPr>
      <w:r w:rsidRPr="00E0267E">
        <w:t xml:space="preserve">New </w:t>
      </w:r>
      <w:r w:rsidR="004E3BE5" w:rsidRPr="00E0267E">
        <w:t>PRRT</w:t>
      </w:r>
      <w:r w:rsidRPr="00E0267E">
        <w:t xml:space="preserve"> policy measures announced since the October Budget increase PRRT receipts by $</w:t>
      </w:r>
      <w:r w:rsidR="0096001F" w:rsidRPr="00E0267E">
        <w:t>600.0</w:t>
      </w:r>
      <w:r w:rsidRPr="00E0267E">
        <w:t xml:space="preserve"> million in 2023–24 and $</w:t>
      </w:r>
      <w:r w:rsidR="0096001F" w:rsidRPr="00E0267E">
        <w:t>3.2 billion</w:t>
      </w:r>
      <w:r w:rsidRPr="00E0267E">
        <w:t xml:space="preserve"> over the 5 years </w:t>
      </w:r>
      <w:r w:rsidR="00C75A21" w:rsidRPr="00E0267E">
        <w:t>from 202</w:t>
      </w:r>
      <w:r w:rsidR="00825B55" w:rsidRPr="00E0267E">
        <w:t>2–2</w:t>
      </w:r>
      <w:r w:rsidR="00C75A21" w:rsidRPr="00E0267E">
        <w:t xml:space="preserve">3 </w:t>
      </w:r>
      <w:r w:rsidRPr="00E0267E">
        <w:t>to 2026–27</w:t>
      </w:r>
      <w:r w:rsidR="0096001F" w:rsidRPr="00E0267E">
        <w:t xml:space="preserve"> </w:t>
      </w:r>
      <w:r w:rsidR="00991A3C" w:rsidRPr="00E0267E">
        <w:rPr>
          <w:rStyle w:val="ui-provider"/>
        </w:rPr>
        <w:t>and reduce company tax receipts by $800</w:t>
      </w:r>
      <w:r w:rsidR="00FF1C21" w:rsidRPr="00E0267E">
        <w:rPr>
          <w:rStyle w:val="ui-provider"/>
        </w:rPr>
        <w:t>.0</w:t>
      </w:r>
      <w:r w:rsidR="00991A3C" w:rsidRPr="00E0267E">
        <w:rPr>
          <w:rStyle w:val="ui-provider"/>
        </w:rPr>
        <w:t xml:space="preserve"> million over the five years from 2022</w:t>
      </w:r>
      <w:r w:rsidR="001B77CF">
        <w:rPr>
          <w:rStyle w:val="ui-provider"/>
        </w:rPr>
        <w:noBreakHyphen/>
      </w:r>
      <w:r w:rsidR="00991A3C" w:rsidRPr="00E0267E">
        <w:rPr>
          <w:rStyle w:val="ui-provider"/>
        </w:rPr>
        <w:t>23 to 2026</w:t>
      </w:r>
      <w:r w:rsidR="001B77CF">
        <w:rPr>
          <w:rStyle w:val="ui-provider"/>
        </w:rPr>
        <w:noBreakHyphen/>
      </w:r>
      <w:r w:rsidR="00991A3C" w:rsidRPr="00E0267E">
        <w:rPr>
          <w:rStyle w:val="ui-provider"/>
        </w:rPr>
        <w:t xml:space="preserve">27 </w:t>
      </w:r>
      <w:r w:rsidR="008C43B2">
        <w:t xml:space="preserve">for an increase in total tax receipts </w:t>
      </w:r>
      <w:r w:rsidR="00991A3C" w:rsidRPr="00E0267E">
        <w:rPr>
          <w:rStyle w:val="ui-provider"/>
        </w:rPr>
        <w:t>of $2.4 billion over the five years from 2022</w:t>
      </w:r>
      <w:r w:rsidR="001B77CF">
        <w:rPr>
          <w:rStyle w:val="ui-provider"/>
        </w:rPr>
        <w:noBreakHyphen/>
      </w:r>
      <w:r w:rsidR="00991A3C" w:rsidRPr="00E0267E">
        <w:rPr>
          <w:rStyle w:val="ui-provider"/>
        </w:rPr>
        <w:t>23 to 2026</w:t>
      </w:r>
      <w:r w:rsidR="001B77CF">
        <w:rPr>
          <w:rStyle w:val="ui-provider"/>
        </w:rPr>
        <w:noBreakHyphen/>
      </w:r>
      <w:r w:rsidR="00991A3C" w:rsidRPr="00E0267E">
        <w:rPr>
          <w:rStyle w:val="ui-provider"/>
        </w:rPr>
        <w:t xml:space="preserve">27 </w:t>
      </w:r>
      <w:r w:rsidR="00F252F8" w:rsidRPr="00E0267E">
        <w:t xml:space="preserve">due to the </w:t>
      </w:r>
      <w:r w:rsidR="009E3212" w:rsidRPr="00E0267E">
        <w:t>measure</w:t>
      </w:r>
      <w:r w:rsidR="007C45F8" w:rsidRPr="00966BD4">
        <w:t xml:space="preserve"> </w:t>
      </w:r>
      <w:r w:rsidR="00276093" w:rsidRPr="00966BD4">
        <w:rPr>
          <w:i/>
        </w:rPr>
        <w:t>Petroleum Resource Rent Tax – Government Response to the Review of the PRRT Gas</w:t>
      </w:r>
      <w:r w:rsidR="00FF04BB" w:rsidRPr="00966BD4">
        <w:rPr>
          <w:i/>
        </w:rPr>
        <w:t> </w:t>
      </w:r>
      <w:r w:rsidR="00276093" w:rsidRPr="00966BD4">
        <w:rPr>
          <w:i/>
        </w:rPr>
        <w:t>Transfer Pricing arrangements</w:t>
      </w:r>
      <w:r w:rsidR="00276093" w:rsidRPr="00966BD4">
        <w:t xml:space="preserve"> </w:t>
      </w:r>
      <w:r w:rsidR="00631FDC" w:rsidRPr="00966BD4">
        <w:t xml:space="preserve">(see </w:t>
      </w:r>
      <w:r w:rsidR="00265AFF" w:rsidRPr="00966BD4">
        <w:t>B</w:t>
      </w:r>
      <w:r w:rsidR="00631FDC" w:rsidRPr="00966BD4">
        <w:t>ox 5.</w:t>
      </w:r>
      <w:r w:rsidR="005C22BF" w:rsidRPr="00966BD4">
        <w:t>2</w:t>
      </w:r>
      <w:r w:rsidR="00631FDC" w:rsidRPr="00966BD4">
        <w:t>).</w:t>
      </w:r>
      <w:r w:rsidR="007C45F8" w:rsidRPr="00966BD4">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495D85" w:rsidRPr="00E0267E" w14:paraId="56E0F241" w14:textId="77777777" w:rsidTr="007913DD">
        <w:trPr>
          <w:cantSplit/>
        </w:trPr>
        <w:tc>
          <w:tcPr>
            <w:tcW w:w="5000" w:type="pct"/>
            <w:shd w:val="clear" w:color="auto" w:fill="E6F2FF"/>
          </w:tcPr>
          <w:p w14:paraId="3BB7FFC9" w14:textId="1DA31C03" w:rsidR="00E26A47" w:rsidRPr="00966BD4" w:rsidRDefault="00E26A47">
            <w:pPr>
              <w:pStyle w:val="BoxHeading"/>
            </w:pPr>
            <w:r w:rsidRPr="00966BD4">
              <w:lastRenderedPageBreak/>
              <w:t xml:space="preserve">Box </w:t>
            </w:r>
            <w:r w:rsidR="000235FF" w:rsidRPr="00966BD4">
              <w:t>5.</w:t>
            </w:r>
            <w:r w:rsidR="005C22BF" w:rsidRPr="00966BD4">
              <w:t>2</w:t>
            </w:r>
            <w:r w:rsidRPr="00966BD4">
              <w:t xml:space="preserve"> </w:t>
            </w:r>
            <w:r w:rsidR="00344060" w:rsidRPr="00966BD4">
              <w:t>Reforms to the Petroleum Resource Rent Tax</w:t>
            </w:r>
          </w:p>
          <w:p w14:paraId="072AEDC0" w14:textId="43C20CC1" w:rsidR="000116FF" w:rsidRPr="00966BD4" w:rsidRDefault="000116FF" w:rsidP="00774E24">
            <w:pPr>
              <w:pStyle w:val="BoxText"/>
            </w:pPr>
            <w:r w:rsidRPr="00966BD4">
              <w:t xml:space="preserve">The 2017 Callaghan Review of the Petroleum Resource Rent Tax (PRRT) recommended that the gas transfer pricing (GTP) rules that determine the value of gas for PRRT purposes in integrated LNG projects be further examined. In 2019, </w:t>
            </w:r>
            <w:r w:rsidR="00A84E7C">
              <w:br/>
            </w:r>
            <w:r w:rsidR="00A3174C" w:rsidRPr="00966BD4">
              <w:t>t</w:t>
            </w:r>
            <w:r w:rsidRPr="00966BD4">
              <w:t xml:space="preserve">he former Government asked Treasury to review the GTP rules. Treasury </w:t>
            </w:r>
            <w:r w:rsidR="00A3174C" w:rsidRPr="00966BD4">
              <w:t xml:space="preserve">has </w:t>
            </w:r>
            <w:r w:rsidRPr="00966BD4">
              <w:t xml:space="preserve">completed </w:t>
            </w:r>
            <w:r w:rsidR="00A3174C" w:rsidRPr="00966BD4">
              <w:t>this review and reported to Government</w:t>
            </w:r>
            <w:r w:rsidRPr="00966BD4">
              <w:t xml:space="preserve">. </w:t>
            </w:r>
          </w:p>
          <w:p w14:paraId="32E34882" w14:textId="3227B935" w:rsidR="0000134B" w:rsidRPr="00966BD4" w:rsidRDefault="00FC298E" w:rsidP="00774E24">
            <w:pPr>
              <w:pStyle w:val="BoxText"/>
            </w:pPr>
            <w:r w:rsidRPr="00966BD4">
              <w:t xml:space="preserve">Both the Callaghan and the GTP reviews noted that aspects of the PRRT are better suited to oil projects than LNG projects. LNG projects are highly capital intensive and, compared to oil projects, generally take much longer to become cash flow positive after commencing production. This impacts the PRRT </w:t>
            </w:r>
            <w:r w:rsidR="005F11CE" w:rsidRPr="00966BD4">
              <w:t>collected from LNG projects</w:t>
            </w:r>
            <w:r w:rsidRPr="00966BD4">
              <w:t xml:space="preserve">, particularly where </w:t>
            </w:r>
            <w:r w:rsidR="0001486C" w:rsidRPr="00966BD4">
              <w:t>projects</w:t>
            </w:r>
            <w:r w:rsidRPr="00966BD4">
              <w:t xml:space="preserve"> have very large carry</w:t>
            </w:r>
            <w:r w:rsidR="001B77CF">
              <w:noBreakHyphen/>
            </w:r>
            <w:r w:rsidRPr="00966BD4">
              <w:t xml:space="preserve">forward deductions that are uplifted for many years. To date, not a single LNG project has paid any </w:t>
            </w:r>
            <w:proofErr w:type="gramStart"/>
            <w:r w:rsidRPr="00966BD4">
              <w:t>PRRT</w:t>
            </w:r>
            <w:proofErr w:type="gramEnd"/>
            <w:r w:rsidRPr="00966BD4">
              <w:t xml:space="preserve"> and many are not expected to </w:t>
            </w:r>
            <w:r w:rsidR="00DD70E8" w:rsidRPr="00966BD4">
              <w:t xml:space="preserve">pay </w:t>
            </w:r>
            <w:r w:rsidR="00DA46DA" w:rsidRPr="00966BD4">
              <w:t>significant</w:t>
            </w:r>
            <w:r w:rsidRPr="00966BD4">
              <w:t xml:space="preserve"> amounts of PRRT until the 2030s.</w:t>
            </w:r>
            <w:r w:rsidR="0000134B" w:rsidRPr="00966BD4">
              <w:t xml:space="preserve"> </w:t>
            </w:r>
          </w:p>
          <w:p w14:paraId="14EF8A96" w14:textId="067030DE" w:rsidR="000116FF" w:rsidRPr="00966BD4" w:rsidRDefault="000116FF" w:rsidP="00774E24">
            <w:pPr>
              <w:pStyle w:val="BoxText"/>
            </w:pPr>
            <w:r w:rsidRPr="00966BD4">
              <w:t xml:space="preserve">In this Budget, the Government is </w:t>
            </w:r>
            <w:r w:rsidR="006C6A40" w:rsidRPr="00966BD4">
              <w:t xml:space="preserve">introducing changes to the PRRT to deliver </w:t>
            </w:r>
            <w:r w:rsidR="00A84E7C">
              <w:br/>
            </w:r>
            <w:r w:rsidR="006C6A40" w:rsidRPr="00966BD4">
              <w:t>a fairer return to the Australian community from their natural resources</w:t>
            </w:r>
            <w:r w:rsidRPr="00966BD4">
              <w:t xml:space="preserve">. The Government will introduce a cap on the use of deductions to offset assessable income of LNG producers under the PRRT. This will bring forward PRRT receipts from LNG projects and ensure a </w:t>
            </w:r>
            <w:r w:rsidR="00E10056" w:rsidRPr="00966BD4">
              <w:t>greater</w:t>
            </w:r>
            <w:r w:rsidR="003C3F02" w:rsidRPr="00966BD4">
              <w:t xml:space="preserve"> </w:t>
            </w:r>
            <w:r w:rsidR="000A5E7C" w:rsidRPr="00966BD4">
              <w:t xml:space="preserve">PRRT </w:t>
            </w:r>
            <w:r w:rsidR="003C3F02" w:rsidRPr="00966BD4">
              <w:t xml:space="preserve">return to </w:t>
            </w:r>
            <w:r w:rsidR="000A5E7C" w:rsidRPr="00966BD4">
              <w:t>the community</w:t>
            </w:r>
            <w:r w:rsidR="003C3F02" w:rsidRPr="00966BD4">
              <w:t xml:space="preserve"> from the offshore LNG industry</w:t>
            </w:r>
            <w:r w:rsidR="009678D7" w:rsidRPr="00966BD4">
              <w:t xml:space="preserve">. </w:t>
            </w:r>
          </w:p>
          <w:p w14:paraId="44A459EF" w14:textId="1404041F" w:rsidR="000116FF" w:rsidRPr="00966BD4" w:rsidRDefault="000116FF" w:rsidP="00774E24">
            <w:pPr>
              <w:pStyle w:val="BoxText"/>
            </w:pPr>
            <w:r w:rsidRPr="00966BD4">
              <w:t>The cap will limit LNG projects</w:t>
            </w:r>
            <w:r w:rsidR="001B77CF">
              <w:t>’</w:t>
            </w:r>
            <w:r w:rsidRPr="00966BD4">
              <w:t xml:space="preserve"> deductions each year to no more than 90 per cent </w:t>
            </w:r>
            <w:r w:rsidR="002B5274">
              <w:br/>
            </w:r>
            <w:r w:rsidRPr="00966BD4">
              <w:t xml:space="preserve">of their assessable income, so that the PRRT will be paid on at least 10 per cent </w:t>
            </w:r>
            <w:r w:rsidR="002B5274">
              <w:br/>
            </w:r>
            <w:r w:rsidRPr="00966BD4">
              <w:t>of income. The amounts that are unable to be deducted because of the cap will be carried forward and uplifted at the Government long</w:t>
            </w:r>
            <w:r w:rsidR="001B77CF">
              <w:noBreakHyphen/>
            </w:r>
            <w:r w:rsidRPr="00966BD4">
              <w:t>term bond rate. The cap will not apply to certain classes of deductible expenditure in the PRRT – closing</w:t>
            </w:r>
            <w:r w:rsidR="001B77CF">
              <w:noBreakHyphen/>
            </w:r>
            <w:r w:rsidRPr="00966BD4">
              <w:t>down expenditure, starting base expenditure and resource tax expenditure.</w:t>
            </w:r>
          </w:p>
          <w:p w14:paraId="701AFD90" w14:textId="58ED253A" w:rsidR="000116FF" w:rsidRPr="00966BD4" w:rsidRDefault="002E3933" w:rsidP="00774E24">
            <w:pPr>
              <w:pStyle w:val="BoxText"/>
            </w:pPr>
            <w:r w:rsidRPr="00966BD4">
              <w:t xml:space="preserve">These changes will apply to offshore LNG projects, which export the vast majority </w:t>
            </w:r>
            <w:r w:rsidR="00002868">
              <w:br/>
            </w:r>
            <w:r w:rsidRPr="00966BD4">
              <w:t xml:space="preserve">of their gas. </w:t>
            </w:r>
            <w:r w:rsidR="000116FF" w:rsidRPr="00966BD4">
              <w:t xml:space="preserve">To minimise the impact of </w:t>
            </w:r>
            <w:r w:rsidR="00A745F7" w:rsidRPr="00966BD4">
              <w:t xml:space="preserve">early </w:t>
            </w:r>
            <w:r w:rsidR="000116FF" w:rsidRPr="00966BD4">
              <w:t>payments on projects</w:t>
            </w:r>
            <w:r w:rsidR="00986ADB" w:rsidRPr="00966BD4">
              <w:t>,</w:t>
            </w:r>
            <w:r w:rsidR="000116FF" w:rsidRPr="00966BD4">
              <w:t xml:space="preserve"> </w:t>
            </w:r>
            <w:r w:rsidR="00B6161F" w:rsidRPr="00966BD4">
              <w:t xml:space="preserve">they </w:t>
            </w:r>
            <w:r w:rsidR="000116FF" w:rsidRPr="00966BD4">
              <w:t xml:space="preserve">would not be subject to the cap until 7 years after the </w:t>
            </w:r>
            <w:r w:rsidR="005E610E" w:rsidRPr="00966BD4">
              <w:t xml:space="preserve">first </w:t>
            </w:r>
            <w:r w:rsidR="000116FF" w:rsidRPr="00966BD4">
              <w:t>year of production.</w:t>
            </w:r>
          </w:p>
          <w:p w14:paraId="3082EA71" w14:textId="4BC447F7" w:rsidR="00131D03" w:rsidRPr="00966BD4" w:rsidRDefault="000116FF" w:rsidP="00774E24">
            <w:pPr>
              <w:pStyle w:val="BoxText"/>
            </w:pPr>
            <w:r w:rsidRPr="00966BD4">
              <w:t xml:space="preserve">To support the operation of the cap, the Government will also make </w:t>
            </w:r>
            <w:proofErr w:type="gramStart"/>
            <w:r w:rsidRPr="00966BD4">
              <w:t>a number of</w:t>
            </w:r>
            <w:proofErr w:type="gramEnd"/>
            <w:r w:rsidRPr="00966BD4">
              <w:t xml:space="preserve"> changes to the GTP arrangements, including to modernise the PRRT for emerging developments in LNG project structures, better reflect the contributions and risks </w:t>
            </w:r>
            <w:r w:rsidR="00002868">
              <w:br/>
            </w:r>
            <w:r w:rsidRPr="00966BD4">
              <w:t xml:space="preserve">of the notional entities that comprise the LNG value chain, align the regulations </w:t>
            </w:r>
            <w:r w:rsidR="00002868">
              <w:br/>
            </w:r>
            <w:r w:rsidRPr="00966BD4">
              <w:t xml:space="preserve">with current transfer pricing practices and provide appropriate integrity rules </w:t>
            </w:r>
            <w:r w:rsidR="00002868">
              <w:br/>
            </w:r>
            <w:r w:rsidRPr="00966BD4">
              <w:t>for the regime.</w:t>
            </w:r>
            <w:r w:rsidR="00131D03" w:rsidRPr="00966BD4">
              <w:t xml:space="preserve"> </w:t>
            </w:r>
          </w:p>
          <w:p w14:paraId="1CDC9F88" w14:textId="77E8160E" w:rsidR="00E26A47" w:rsidRPr="00E0267E" w:rsidRDefault="006B47EF" w:rsidP="00774E24">
            <w:pPr>
              <w:pStyle w:val="BoxText"/>
            </w:pPr>
            <w:r w:rsidRPr="00966BD4">
              <w:t>The changes</w:t>
            </w:r>
            <w:r w:rsidR="00131D03" w:rsidRPr="00966BD4">
              <w:t xml:space="preserve"> have been carefully designed to provide industry and investors policy certainty, to ensure sufficient supply of domestic gas and ensure Australia remains </w:t>
            </w:r>
            <w:r w:rsidR="00205A66">
              <w:br/>
            </w:r>
            <w:r w:rsidR="00131D03" w:rsidRPr="00966BD4">
              <w:t>a reliable trad</w:t>
            </w:r>
            <w:r w:rsidR="00E409E1" w:rsidRPr="00966BD4">
              <w:t>e and investment</w:t>
            </w:r>
            <w:r w:rsidR="00131D03" w:rsidRPr="00966BD4">
              <w:t xml:space="preserve"> partner.</w:t>
            </w:r>
          </w:p>
        </w:tc>
      </w:tr>
    </w:tbl>
    <w:p w14:paraId="009F2C26" w14:textId="77777777" w:rsidR="00B434AC" w:rsidRPr="00E0267E" w:rsidRDefault="00B434AC" w:rsidP="00774E24">
      <w:pPr>
        <w:pStyle w:val="SingleParagraph"/>
      </w:pPr>
      <w:bookmarkStart w:id="30" w:name="_Toc512338385"/>
      <w:bookmarkStart w:id="31" w:name="_Toc67658752"/>
      <w:bookmarkStart w:id="32" w:name="_Hlk115172079"/>
    </w:p>
    <w:p w14:paraId="6AB2D985" w14:textId="5632DA28" w:rsidR="00D907F8" w:rsidRPr="00966BD4" w:rsidRDefault="00D907F8" w:rsidP="00D907F8">
      <w:pPr>
        <w:pStyle w:val="Heading4"/>
      </w:pPr>
      <w:r w:rsidRPr="00966BD4">
        <w:lastRenderedPageBreak/>
        <w:t>Goods and services tax</w:t>
      </w:r>
      <w:bookmarkEnd w:id="30"/>
      <w:r w:rsidRPr="00966BD4">
        <w:t xml:space="preserve"> (GST)</w:t>
      </w:r>
      <w:bookmarkEnd w:id="31"/>
    </w:p>
    <w:p w14:paraId="6A4FBC8C" w14:textId="74DC4F5E" w:rsidR="00D907F8" w:rsidRPr="00966BD4" w:rsidRDefault="00D907F8" w:rsidP="00774E24">
      <w:r w:rsidRPr="00966BD4">
        <w:t xml:space="preserve">Since </w:t>
      </w:r>
      <w:r w:rsidR="002110B9" w:rsidRPr="00966BD4">
        <w:t>the October Budget</w:t>
      </w:r>
      <w:r w:rsidRPr="00966BD4">
        <w:t xml:space="preserve">, GST receipts have been revised </w:t>
      </w:r>
      <w:r w:rsidR="00382CA4" w:rsidRPr="00966BD4">
        <w:t xml:space="preserve">up </w:t>
      </w:r>
      <w:r w:rsidRPr="00966BD4">
        <w:t>by $</w:t>
      </w:r>
      <w:r w:rsidR="00631E8F" w:rsidRPr="00966BD4">
        <w:t>3</w:t>
      </w:r>
      <w:r w:rsidR="000D621C" w:rsidRPr="00966BD4">
        <w:t>68.0</w:t>
      </w:r>
      <w:r w:rsidRPr="00966BD4">
        <w:t xml:space="preserve"> </w:t>
      </w:r>
      <w:r w:rsidR="00382CA4" w:rsidRPr="00966BD4">
        <w:t>m</w:t>
      </w:r>
      <w:r w:rsidRPr="00966BD4">
        <w:t>illion in 202</w:t>
      </w:r>
      <w:r w:rsidR="002110B9" w:rsidRPr="00966BD4">
        <w:t>3</w:t>
      </w:r>
      <w:r w:rsidRPr="00966BD4">
        <w:t>–2</w:t>
      </w:r>
      <w:r w:rsidR="002110B9" w:rsidRPr="00966BD4">
        <w:t>4</w:t>
      </w:r>
      <w:r w:rsidRPr="00966BD4" w:rsidDel="00ED64B9">
        <w:t xml:space="preserve"> </w:t>
      </w:r>
      <w:r w:rsidR="00BC4F2D" w:rsidRPr="00966BD4">
        <w:t>and</w:t>
      </w:r>
      <w:r w:rsidR="0098486D" w:rsidRPr="00966BD4">
        <w:t xml:space="preserve"> </w:t>
      </w:r>
      <w:r w:rsidRPr="00966BD4">
        <w:t>$</w:t>
      </w:r>
      <w:r w:rsidR="00E62C7F" w:rsidRPr="00966BD4">
        <w:t>6.1</w:t>
      </w:r>
      <w:r w:rsidRPr="00966BD4">
        <w:t xml:space="preserve"> billion over the </w:t>
      </w:r>
      <w:r w:rsidR="00481935" w:rsidRPr="00966BD4">
        <w:t>5</w:t>
      </w:r>
      <w:r w:rsidRPr="00966BD4">
        <w:t xml:space="preserve"> years </w:t>
      </w:r>
      <w:r w:rsidR="00C75A21" w:rsidRPr="00966BD4">
        <w:t>from 202</w:t>
      </w:r>
      <w:r w:rsidR="00825B55" w:rsidRPr="00966BD4">
        <w:t>2–2</w:t>
      </w:r>
      <w:r w:rsidR="00C75A21" w:rsidRPr="00966BD4">
        <w:t xml:space="preserve">3 </w:t>
      </w:r>
      <w:r w:rsidRPr="00966BD4">
        <w:t>to 202</w:t>
      </w:r>
      <w:r w:rsidR="002110B9" w:rsidRPr="00966BD4">
        <w:t>6</w:t>
      </w:r>
      <w:r w:rsidRPr="00966BD4">
        <w:t>–2</w:t>
      </w:r>
      <w:r w:rsidR="002110B9" w:rsidRPr="00966BD4">
        <w:t>7</w:t>
      </w:r>
      <w:r w:rsidRPr="00966BD4">
        <w:t>.</w:t>
      </w:r>
      <w:r w:rsidR="00041562" w:rsidRPr="00966BD4">
        <w:t xml:space="preserve"> Year</w:t>
      </w:r>
      <w:r w:rsidR="001B77CF">
        <w:noBreakHyphen/>
      </w:r>
      <w:r w:rsidR="00041562" w:rsidRPr="00966BD4">
        <w:t>on</w:t>
      </w:r>
      <w:r w:rsidR="001B77CF">
        <w:noBreakHyphen/>
      </w:r>
      <w:r w:rsidR="00041562" w:rsidRPr="00966BD4">
        <w:t xml:space="preserve">year, GST receipts are expected to </w:t>
      </w:r>
      <w:r w:rsidR="008B520B" w:rsidRPr="00966BD4">
        <w:t>increase</w:t>
      </w:r>
      <w:r w:rsidR="00041562" w:rsidRPr="00966BD4">
        <w:t xml:space="preserve"> by </w:t>
      </w:r>
      <w:r w:rsidR="00526560" w:rsidRPr="00966BD4">
        <w:t>5</w:t>
      </w:r>
      <w:r w:rsidR="0096392D" w:rsidRPr="00966BD4">
        <w:t>.2</w:t>
      </w:r>
      <w:r w:rsidR="00041562" w:rsidRPr="00966BD4">
        <w:t xml:space="preserve"> per cent in 2023–24 and </w:t>
      </w:r>
      <w:r w:rsidR="009A64C6" w:rsidRPr="00966BD4">
        <w:t>3.</w:t>
      </w:r>
      <w:r w:rsidR="00163198" w:rsidRPr="00966BD4">
        <w:t>9</w:t>
      </w:r>
      <w:r w:rsidR="00041562" w:rsidRPr="00966BD4">
        <w:t xml:space="preserve"> per cent in 2024–25</w:t>
      </w:r>
      <w:r w:rsidR="008B520B" w:rsidRPr="00966BD4">
        <w:t xml:space="preserve"> in line with </w:t>
      </w:r>
      <w:r w:rsidR="00281B28" w:rsidRPr="00966BD4">
        <w:t xml:space="preserve">nominal </w:t>
      </w:r>
      <w:r w:rsidR="00572BE5" w:rsidRPr="00966BD4">
        <w:t xml:space="preserve">household consumption. </w:t>
      </w:r>
    </w:p>
    <w:p w14:paraId="040E05AD" w14:textId="0D7465CD" w:rsidR="006D0DC9" w:rsidRPr="00966BD4" w:rsidRDefault="002E0A28" w:rsidP="00774E24">
      <w:r w:rsidRPr="00966BD4">
        <w:t>Excluding new policy decisions, GST has been revised down by $</w:t>
      </w:r>
      <w:r w:rsidR="00A83459" w:rsidRPr="00966BD4">
        <w:t>4</w:t>
      </w:r>
      <w:r w:rsidR="00C50489" w:rsidRPr="00966BD4">
        <w:t>81.0</w:t>
      </w:r>
      <w:r w:rsidRPr="00966BD4">
        <w:t xml:space="preserve"> million in </w:t>
      </w:r>
      <w:r w:rsidR="00825B55" w:rsidRPr="00966BD4">
        <w:t>2023–2</w:t>
      </w:r>
      <w:r w:rsidRPr="00966BD4">
        <w:t xml:space="preserve">4 </w:t>
      </w:r>
      <w:r w:rsidR="00C17A11" w:rsidRPr="00966BD4">
        <w:t>but up</w:t>
      </w:r>
      <w:r w:rsidRPr="00966BD4">
        <w:t xml:space="preserve"> $</w:t>
      </w:r>
      <w:r w:rsidR="00C17A11" w:rsidRPr="00966BD4">
        <w:t>1.5</w:t>
      </w:r>
      <w:r w:rsidRPr="00966BD4">
        <w:t xml:space="preserve"> billion over the 5 years </w:t>
      </w:r>
      <w:r w:rsidR="00C75A21" w:rsidRPr="00966BD4">
        <w:t>from 2022</w:t>
      </w:r>
      <w:r w:rsidR="00AC5AF2" w:rsidRPr="00966BD4">
        <w:rPr>
          <w:rFonts w:ascii="Calibri" w:hAnsi="Calibri" w:cs="Calibri"/>
        </w:rPr>
        <w:t>–</w:t>
      </w:r>
      <w:r w:rsidR="00C75A21" w:rsidRPr="00966BD4">
        <w:t xml:space="preserve">23 </w:t>
      </w:r>
      <w:r w:rsidRPr="00966BD4">
        <w:t>to 2026</w:t>
      </w:r>
      <w:r w:rsidR="00AC5AF2" w:rsidRPr="00966BD4">
        <w:rPr>
          <w:rFonts w:ascii="Calibri" w:hAnsi="Calibri" w:cs="Calibri"/>
        </w:rPr>
        <w:t>–</w:t>
      </w:r>
      <w:r w:rsidRPr="00966BD4">
        <w:t xml:space="preserve">27. </w:t>
      </w:r>
      <w:r w:rsidR="001B1FA1" w:rsidRPr="00966BD4">
        <w:t xml:space="preserve">GST receipts have been downgraded in the </w:t>
      </w:r>
      <w:r w:rsidR="00F76FEE" w:rsidRPr="00966BD4">
        <w:t xml:space="preserve">near term due to </w:t>
      </w:r>
      <w:r w:rsidR="006D0DC9" w:rsidRPr="00966BD4">
        <w:t>weaker</w:t>
      </w:r>
      <w:r w:rsidR="001B77CF">
        <w:noBreakHyphen/>
      </w:r>
      <w:r w:rsidR="006D0DC9" w:rsidRPr="00966BD4">
        <w:t>than</w:t>
      </w:r>
      <w:r w:rsidR="001B77CF">
        <w:noBreakHyphen/>
      </w:r>
      <w:r w:rsidR="006D0DC9" w:rsidRPr="00966BD4">
        <w:t>expected collections for 2022</w:t>
      </w:r>
      <w:r w:rsidR="00971F6C" w:rsidRPr="00966BD4">
        <w:t>–</w:t>
      </w:r>
      <w:r w:rsidR="006D0DC9" w:rsidRPr="00966BD4">
        <w:t xml:space="preserve">23, offset by upgrades to consumption subject to GST and </w:t>
      </w:r>
      <w:r w:rsidR="00A311E7" w:rsidRPr="00966BD4">
        <w:t xml:space="preserve">higher </w:t>
      </w:r>
      <w:r w:rsidR="006D0DC9" w:rsidRPr="00966BD4">
        <w:t>population</w:t>
      </w:r>
      <w:r w:rsidR="00D23811" w:rsidRPr="00966BD4">
        <w:t xml:space="preserve"> growth</w:t>
      </w:r>
      <w:r w:rsidR="006D0DC9" w:rsidRPr="00966BD4">
        <w:t>.</w:t>
      </w:r>
    </w:p>
    <w:p w14:paraId="343DDFC5" w14:textId="1D37D046" w:rsidR="00CB7469" w:rsidRPr="00966BD4" w:rsidRDefault="00D907F8" w:rsidP="00774E24">
      <w:r w:rsidRPr="00966BD4">
        <w:t xml:space="preserve">New tax policy measures announced since </w:t>
      </w:r>
      <w:r w:rsidR="00345CE8" w:rsidRPr="00966BD4">
        <w:t>the October Budget</w:t>
      </w:r>
      <w:r w:rsidRPr="00966BD4">
        <w:t xml:space="preserve"> are expected to </w:t>
      </w:r>
      <w:r w:rsidR="00CB7469" w:rsidRPr="00966BD4">
        <w:t xml:space="preserve">increase </w:t>
      </w:r>
      <w:r w:rsidR="003A37AD">
        <w:br/>
      </w:r>
      <w:r w:rsidR="00CB7469" w:rsidRPr="00966BD4">
        <w:t>GST receipts by $84</w:t>
      </w:r>
      <w:r w:rsidR="00B21DC5" w:rsidRPr="00966BD4">
        <w:t>9.0</w:t>
      </w:r>
      <w:r w:rsidR="00CB7469" w:rsidRPr="00966BD4">
        <w:t xml:space="preserve"> million in 2023</w:t>
      </w:r>
      <w:r w:rsidR="00AC5AF2" w:rsidRPr="00966BD4">
        <w:rPr>
          <w:rFonts w:ascii="Calibri" w:hAnsi="Calibri" w:cs="Calibri"/>
        </w:rPr>
        <w:t>–</w:t>
      </w:r>
      <w:r w:rsidR="00CB7469" w:rsidRPr="00966BD4">
        <w:t>24 and $4.</w:t>
      </w:r>
      <w:r w:rsidR="00B21DC5" w:rsidRPr="00966BD4">
        <w:t>6</w:t>
      </w:r>
      <w:r w:rsidR="00CB7469" w:rsidRPr="00966BD4">
        <w:t xml:space="preserve"> billion over the </w:t>
      </w:r>
      <w:r w:rsidR="00825B55" w:rsidRPr="00966BD4">
        <w:t>5</w:t>
      </w:r>
      <w:r w:rsidR="00CB7469" w:rsidRPr="00966BD4">
        <w:t xml:space="preserve"> years </w:t>
      </w:r>
      <w:r w:rsidR="00F7768E" w:rsidRPr="00966BD4">
        <w:t>from 2022</w:t>
      </w:r>
      <w:r w:rsidR="00AC5AF2" w:rsidRPr="00966BD4">
        <w:rPr>
          <w:rFonts w:ascii="Calibri" w:hAnsi="Calibri" w:cs="Calibri"/>
        </w:rPr>
        <w:t>–</w:t>
      </w:r>
      <w:r w:rsidR="00F7768E" w:rsidRPr="00966BD4">
        <w:t xml:space="preserve">23 </w:t>
      </w:r>
      <w:r w:rsidR="003A37AD">
        <w:br/>
      </w:r>
      <w:r w:rsidR="00CB7469" w:rsidRPr="00966BD4">
        <w:t xml:space="preserve">to </w:t>
      </w:r>
      <w:r w:rsidR="00825B55" w:rsidRPr="00966BD4">
        <w:t>2026–27</w:t>
      </w:r>
      <w:r w:rsidR="00CB7469" w:rsidRPr="00966BD4">
        <w:t>. This is largely due to the measures:</w:t>
      </w:r>
    </w:p>
    <w:p w14:paraId="44BE66E7" w14:textId="5A3FA1E6" w:rsidR="00CB7469" w:rsidRPr="00E0267E" w:rsidRDefault="00CB7469" w:rsidP="00774E24">
      <w:pPr>
        <w:pStyle w:val="Bullet"/>
      </w:pPr>
      <w:r w:rsidRPr="00966BD4">
        <w:rPr>
          <w:i/>
        </w:rPr>
        <w:t>GST compliance program</w:t>
      </w:r>
      <w:r w:rsidR="001B77CF">
        <w:rPr>
          <w:i/>
        </w:rPr>
        <w:t xml:space="preserve"> – </w:t>
      </w:r>
      <w:r w:rsidRPr="00966BD4">
        <w:rPr>
          <w:i/>
        </w:rPr>
        <w:t>four</w:t>
      </w:r>
      <w:r w:rsidR="001B77CF">
        <w:rPr>
          <w:i/>
        </w:rPr>
        <w:noBreakHyphen/>
      </w:r>
      <w:r w:rsidRPr="00966BD4">
        <w:rPr>
          <w:i/>
        </w:rPr>
        <w:t>year extension</w:t>
      </w:r>
      <w:r w:rsidRPr="00966BD4">
        <w:t xml:space="preserve"> which is expected to increase GST receipts by $</w:t>
      </w:r>
      <w:r w:rsidR="0002607E" w:rsidRPr="00966BD4">
        <w:t>80</w:t>
      </w:r>
      <w:r w:rsidR="00F3137E" w:rsidRPr="00966BD4">
        <w:t>9</w:t>
      </w:r>
      <w:r w:rsidR="0002607E" w:rsidRPr="00966BD4">
        <w:t>.</w:t>
      </w:r>
      <w:r w:rsidR="00F3137E" w:rsidRPr="00966BD4">
        <w:t>4</w:t>
      </w:r>
      <w:r w:rsidRPr="00966BD4">
        <w:t xml:space="preserve"> million in </w:t>
      </w:r>
      <w:r w:rsidR="00825B55" w:rsidRPr="00966BD4">
        <w:t>2023–2</w:t>
      </w:r>
      <w:r w:rsidRPr="00966BD4">
        <w:t xml:space="preserve">4 and $3.8 billion over the </w:t>
      </w:r>
      <w:r w:rsidR="00825B55" w:rsidRPr="00966BD4">
        <w:t>5</w:t>
      </w:r>
      <w:r w:rsidRPr="00966BD4">
        <w:t xml:space="preserve"> years </w:t>
      </w:r>
      <w:r w:rsidR="00F13DB2" w:rsidRPr="00966BD4">
        <w:t>from 2022</w:t>
      </w:r>
      <w:r w:rsidR="00AC5AF2" w:rsidRPr="00966BD4">
        <w:rPr>
          <w:rFonts w:ascii="Calibri" w:hAnsi="Calibri" w:cs="Calibri"/>
        </w:rPr>
        <w:t>–</w:t>
      </w:r>
      <w:r w:rsidR="00F13DB2" w:rsidRPr="00966BD4">
        <w:t>23</w:t>
      </w:r>
      <w:r w:rsidRPr="00966BD4">
        <w:t xml:space="preserve"> to 2026</w:t>
      </w:r>
      <w:r w:rsidR="00AC5AF2" w:rsidRPr="00966BD4">
        <w:rPr>
          <w:rFonts w:ascii="Calibri" w:hAnsi="Calibri" w:cs="Calibri"/>
        </w:rPr>
        <w:t>–</w:t>
      </w:r>
      <w:r w:rsidRPr="00966BD4">
        <w:t>27.</w:t>
      </w:r>
    </w:p>
    <w:p w14:paraId="577E79B1" w14:textId="0DB31E76" w:rsidR="00CB7469" w:rsidRPr="00E0267E" w:rsidRDefault="00905F10" w:rsidP="00774E24">
      <w:pPr>
        <w:pStyle w:val="Bullet"/>
      </w:pPr>
      <w:r w:rsidRPr="00966BD4">
        <w:rPr>
          <w:i/>
        </w:rPr>
        <w:t>Tobacco Excise</w:t>
      </w:r>
      <w:r w:rsidR="00C81422" w:rsidRPr="00966BD4">
        <w:rPr>
          <w:i/>
        </w:rPr>
        <w:t xml:space="preserve">—measures </w:t>
      </w:r>
      <w:r w:rsidR="002E1396" w:rsidRPr="00966BD4">
        <w:rPr>
          <w:i/>
        </w:rPr>
        <w:t xml:space="preserve">to improve health outcomes and </w:t>
      </w:r>
      <w:r w:rsidR="00CB7469" w:rsidRPr="00966BD4">
        <w:rPr>
          <w:i/>
        </w:rPr>
        <w:t>aligning the treatment of stick and non</w:t>
      </w:r>
      <w:r w:rsidR="001B77CF">
        <w:rPr>
          <w:i/>
        </w:rPr>
        <w:noBreakHyphen/>
      </w:r>
      <w:r w:rsidR="00CB7469" w:rsidRPr="00966BD4">
        <w:rPr>
          <w:i/>
        </w:rPr>
        <w:t>stick tobacco tax</w:t>
      </w:r>
      <w:r w:rsidR="00CB7469" w:rsidRPr="00966BD4">
        <w:t xml:space="preserve"> which is expected to increase GST receipts by $30</w:t>
      </w:r>
      <w:r w:rsidR="005B766F" w:rsidRPr="00966BD4">
        <w:t>.0</w:t>
      </w:r>
      <w:r w:rsidR="00CB7469" w:rsidRPr="00966BD4">
        <w:t xml:space="preserve"> million in </w:t>
      </w:r>
      <w:r w:rsidR="00AC5AF2" w:rsidRPr="00966BD4">
        <w:br/>
      </w:r>
      <w:r w:rsidR="00CB7469" w:rsidRPr="00966BD4">
        <w:t>2023</w:t>
      </w:r>
      <w:r w:rsidR="00AC5AF2" w:rsidRPr="00966BD4">
        <w:rPr>
          <w:rFonts w:ascii="Calibri" w:hAnsi="Calibri" w:cs="Calibri"/>
        </w:rPr>
        <w:t>–</w:t>
      </w:r>
      <w:r w:rsidR="00CB7469" w:rsidRPr="00966BD4">
        <w:t>24 and by $290</w:t>
      </w:r>
      <w:r w:rsidR="005B766F" w:rsidRPr="00966BD4">
        <w:t>.0</w:t>
      </w:r>
      <w:r w:rsidR="00CB7469" w:rsidRPr="00966BD4">
        <w:t xml:space="preserve"> million over the </w:t>
      </w:r>
      <w:r w:rsidR="00825B55" w:rsidRPr="00966BD4">
        <w:t>5</w:t>
      </w:r>
      <w:r w:rsidR="00CB7469" w:rsidRPr="00966BD4">
        <w:t xml:space="preserve"> years </w:t>
      </w:r>
      <w:r w:rsidR="00D400BD" w:rsidRPr="00966BD4">
        <w:t>from 202</w:t>
      </w:r>
      <w:r w:rsidR="00825B55" w:rsidRPr="00966BD4">
        <w:t>2–2</w:t>
      </w:r>
      <w:r w:rsidR="00D400BD" w:rsidRPr="00966BD4">
        <w:t>3</w:t>
      </w:r>
      <w:r w:rsidR="00CB7469" w:rsidRPr="00966BD4">
        <w:t xml:space="preserve"> to </w:t>
      </w:r>
      <w:r w:rsidR="00825B55" w:rsidRPr="00966BD4">
        <w:t>2026–</w:t>
      </w:r>
      <w:r w:rsidR="0049773C" w:rsidRPr="00966BD4">
        <w:t>27.</w:t>
      </w:r>
      <w:r w:rsidR="009678D7" w:rsidRPr="00966BD4">
        <w:t xml:space="preserve"> </w:t>
      </w:r>
    </w:p>
    <w:p w14:paraId="7A9F7077" w14:textId="67FCBB1D" w:rsidR="00D907F8" w:rsidRPr="00966BD4" w:rsidRDefault="00D907F8" w:rsidP="00D907F8">
      <w:pPr>
        <w:pStyle w:val="Heading4"/>
      </w:pPr>
      <w:bookmarkStart w:id="33" w:name="_Toc512338386"/>
      <w:bookmarkStart w:id="34" w:name="_Toc67658753"/>
      <w:bookmarkStart w:id="35" w:name="_Hlk115173958"/>
      <w:bookmarkEnd w:id="32"/>
      <w:r w:rsidRPr="00966BD4">
        <w:t>Excise and customs duty</w:t>
      </w:r>
      <w:bookmarkEnd w:id="33"/>
      <w:bookmarkEnd w:id="34"/>
    </w:p>
    <w:p w14:paraId="3AE778E0" w14:textId="39BF4EB6" w:rsidR="004E29EA" w:rsidRPr="00966BD4" w:rsidRDefault="0036733F" w:rsidP="00774E24">
      <w:r w:rsidRPr="00966BD4">
        <w:t xml:space="preserve">Since </w:t>
      </w:r>
      <w:r w:rsidR="00D23811" w:rsidRPr="00966BD4">
        <w:t>the</w:t>
      </w:r>
      <w:r w:rsidRPr="00966BD4">
        <w:t xml:space="preserve"> October Budget, total excise and customs duty receipts have been revised up </w:t>
      </w:r>
      <w:r w:rsidR="003A37AD">
        <w:br/>
      </w:r>
      <w:r w:rsidRPr="00966BD4">
        <w:t>by $</w:t>
      </w:r>
      <w:r w:rsidR="00B35757" w:rsidRPr="00966BD4">
        <w:t>1.1</w:t>
      </w:r>
      <w:r w:rsidR="00213028" w:rsidRPr="00966BD4">
        <w:t> </w:t>
      </w:r>
      <w:r w:rsidRPr="00966BD4">
        <w:t>billion in 2023</w:t>
      </w:r>
      <w:r w:rsidR="00971F6C" w:rsidRPr="00966BD4">
        <w:t>–</w:t>
      </w:r>
      <w:r w:rsidRPr="00966BD4">
        <w:t>24 and $</w:t>
      </w:r>
      <w:r w:rsidR="00EB1F67" w:rsidRPr="00966BD4">
        <w:t>4.4</w:t>
      </w:r>
      <w:r w:rsidRPr="00966BD4">
        <w:t xml:space="preserve"> billion over the 5 years </w:t>
      </w:r>
      <w:r w:rsidR="00C758E7" w:rsidRPr="00966BD4">
        <w:t>from 2022</w:t>
      </w:r>
      <w:r w:rsidR="00AC5AF2" w:rsidRPr="00966BD4">
        <w:rPr>
          <w:rFonts w:ascii="Calibri" w:hAnsi="Calibri" w:cs="Calibri"/>
        </w:rPr>
        <w:t>–</w:t>
      </w:r>
      <w:r w:rsidR="00C758E7" w:rsidRPr="00966BD4">
        <w:t xml:space="preserve">23 </w:t>
      </w:r>
      <w:r w:rsidRPr="00966BD4">
        <w:t>to 2026</w:t>
      </w:r>
      <w:r w:rsidR="00971F6C" w:rsidRPr="00966BD4">
        <w:t>–</w:t>
      </w:r>
      <w:r w:rsidRPr="00966BD4">
        <w:t xml:space="preserve">27. </w:t>
      </w:r>
      <w:r w:rsidR="005D2AA0" w:rsidRPr="00966BD4">
        <w:t>Year</w:t>
      </w:r>
      <w:r w:rsidR="001B77CF">
        <w:noBreakHyphen/>
      </w:r>
      <w:r w:rsidR="005D2AA0" w:rsidRPr="00966BD4">
        <w:t>on</w:t>
      </w:r>
      <w:r w:rsidR="001B77CF">
        <w:noBreakHyphen/>
      </w:r>
      <w:r w:rsidR="005D2AA0" w:rsidRPr="00966BD4">
        <w:t xml:space="preserve">year, excise and customs duty receipts are expected to increase by </w:t>
      </w:r>
      <w:r w:rsidR="00925E8A" w:rsidRPr="00966BD4">
        <w:t>9</w:t>
      </w:r>
      <w:r w:rsidR="00461EF1" w:rsidRPr="00966BD4">
        <w:t>.</w:t>
      </w:r>
      <w:r w:rsidR="00925E8A" w:rsidRPr="00966BD4">
        <w:t>2</w:t>
      </w:r>
      <w:r w:rsidR="005D2AA0" w:rsidRPr="00966BD4">
        <w:t xml:space="preserve"> per cent </w:t>
      </w:r>
      <w:r w:rsidR="003A37AD">
        <w:br/>
      </w:r>
      <w:r w:rsidR="005D2AA0" w:rsidRPr="00966BD4">
        <w:t xml:space="preserve">in 2023–24 and </w:t>
      </w:r>
      <w:r w:rsidR="00925E8A" w:rsidRPr="00966BD4">
        <w:t>5</w:t>
      </w:r>
      <w:r w:rsidR="00640213" w:rsidRPr="00966BD4">
        <w:t>.4</w:t>
      </w:r>
      <w:r w:rsidR="005D2AA0" w:rsidRPr="00966BD4">
        <w:t xml:space="preserve"> per cent in 2024–25 in line with nominal household consumption. </w:t>
      </w:r>
    </w:p>
    <w:p w14:paraId="750B3D54" w14:textId="7B3B74E8" w:rsidR="0097075E" w:rsidRPr="00966BD4" w:rsidRDefault="005D2AA0" w:rsidP="00774E24">
      <w:r w:rsidRPr="00966BD4">
        <w:t xml:space="preserve">Excluding new policy decisions, </w:t>
      </w:r>
      <w:r w:rsidR="0097075E" w:rsidRPr="00966BD4">
        <w:t>excise and customs duty receipts</w:t>
      </w:r>
      <w:r w:rsidRPr="00966BD4">
        <w:t xml:space="preserve"> have been revised up </w:t>
      </w:r>
      <w:r w:rsidR="003A37AD">
        <w:br/>
      </w:r>
      <w:r w:rsidRPr="00966BD4">
        <w:t>by $</w:t>
      </w:r>
      <w:r w:rsidR="00A7049D" w:rsidRPr="00966BD4">
        <w:t>493</w:t>
      </w:r>
      <w:r w:rsidR="00061EA0" w:rsidRPr="00966BD4">
        <w:t>.2</w:t>
      </w:r>
      <w:r w:rsidRPr="00966BD4">
        <w:t xml:space="preserve"> </w:t>
      </w:r>
      <w:r w:rsidR="00A7049D" w:rsidRPr="00966BD4">
        <w:t>m</w:t>
      </w:r>
      <w:r w:rsidRPr="00966BD4">
        <w:t>illion in 2023</w:t>
      </w:r>
      <w:r w:rsidR="00AC5AF2" w:rsidRPr="00966BD4">
        <w:rPr>
          <w:rFonts w:ascii="Calibri" w:hAnsi="Calibri" w:cs="Calibri"/>
        </w:rPr>
        <w:t>–</w:t>
      </w:r>
      <w:r w:rsidRPr="00966BD4">
        <w:t>24 and $</w:t>
      </w:r>
      <w:r w:rsidR="00605826" w:rsidRPr="00966BD4">
        <w:t>8</w:t>
      </w:r>
      <w:r w:rsidR="002A1122" w:rsidRPr="00966BD4">
        <w:t>20.1</w:t>
      </w:r>
      <w:r w:rsidRPr="00966BD4">
        <w:t xml:space="preserve"> </w:t>
      </w:r>
      <w:r w:rsidR="00605826" w:rsidRPr="00966BD4">
        <w:t>m</w:t>
      </w:r>
      <w:r w:rsidRPr="00966BD4">
        <w:t xml:space="preserve">illion over the 5 years </w:t>
      </w:r>
      <w:r w:rsidR="0043091F" w:rsidRPr="00966BD4">
        <w:t>from 2022</w:t>
      </w:r>
      <w:r w:rsidR="00AC5AF2" w:rsidRPr="00966BD4">
        <w:rPr>
          <w:rFonts w:ascii="Calibri" w:hAnsi="Calibri" w:cs="Calibri"/>
        </w:rPr>
        <w:t>–</w:t>
      </w:r>
      <w:r w:rsidR="0043091F" w:rsidRPr="00966BD4">
        <w:t xml:space="preserve">23 </w:t>
      </w:r>
      <w:r w:rsidRPr="00966BD4">
        <w:t>to 2026</w:t>
      </w:r>
      <w:r w:rsidR="00AC5AF2" w:rsidRPr="00966BD4">
        <w:rPr>
          <w:rFonts w:ascii="Calibri" w:hAnsi="Calibri" w:cs="Calibri"/>
        </w:rPr>
        <w:t>–</w:t>
      </w:r>
      <w:r w:rsidRPr="00966BD4">
        <w:t>27.</w:t>
      </w:r>
      <w:r w:rsidR="0097075E" w:rsidRPr="00966BD4">
        <w:t xml:space="preserve"> This reflects upward revisions to customs duty, alcohol excise and fuel excise</w:t>
      </w:r>
      <w:r w:rsidR="00BF77C1" w:rsidRPr="00966BD4">
        <w:t>.</w:t>
      </w:r>
    </w:p>
    <w:p w14:paraId="124D8638" w14:textId="18AEC308" w:rsidR="002B67CD" w:rsidRPr="00966BD4" w:rsidRDefault="006B4CC3" w:rsidP="00774E24">
      <w:r w:rsidRPr="00966BD4">
        <w:t xml:space="preserve">Policy decisions are expected to increase excise and customs duty </w:t>
      </w:r>
      <w:r w:rsidR="002B67CD" w:rsidRPr="00966BD4">
        <w:t>receipts by $58</w:t>
      </w:r>
      <w:r w:rsidR="00061EA0" w:rsidRPr="00966BD4">
        <w:t>6.8</w:t>
      </w:r>
      <w:r w:rsidR="002B67CD" w:rsidRPr="00966BD4">
        <w:t xml:space="preserve"> million in 2023</w:t>
      </w:r>
      <w:r w:rsidR="00AC5AF2" w:rsidRPr="00966BD4">
        <w:rPr>
          <w:rFonts w:ascii="Calibri" w:hAnsi="Calibri" w:cs="Calibri"/>
        </w:rPr>
        <w:t>–</w:t>
      </w:r>
      <w:r w:rsidR="002B67CD" w:rsidRPr="00966BD4">
        <w:t xml:space="preserve">24 and $3.5 billion over the </w:t>
      </w:r>
      <w:r w:rsidR="00825B55" w:rsidRPr="00966BD4">
        <w:t>5</w:t>
      </w:r>
      <w:r w:rsidR="002B67CD" w:rsidRPr="00966BD4">
        <w:t xml:space="preserve"> years </w:t>
      </w:r>
      <w:r w:rsidR="007F2DC4" w:rsidRPr="00966BD4">
        <w:t>from 2022</w:t>
      </w:r>
      <w:r w:rsidR="0015599E" w:rsidRPr="00966BD4">
        <w:rPr>
          <w:rFonts w:ascii="Calibri" w:hAnsi="Calibri" w:cs="Calibri"/>
        </w:rPr>
        <w:t>–</w:t>
      </w:r>
      <w:r w:rsidR="007F2DC4" w:rsidRPr="00966BD4">
        <w:t xml:space="preserve">23 </w:t>
      </w:r>
      <w:r w:rsidR="002B67CD" w:rsidRPr="00966BD4">
        <w:t>to 2026</w:t>
      </w:r>
      <w:r w:rsidR="0015599E" w:rsidRPr="00966BD4">
        <w:rPr>
          <w:rFonts w:ascii="Calibri" w:hAnsi="Calibri" w:cs="Calibri"/>
        </w:rPr>
        <w:t>–</w:t>
      </w:r>
      <w:r w:rsidR="002B67CD" w:rsidRPr="00966BD4">
        <w:t>27. This is largely driven by:</w:t>
      </w:r>
    </w:p>
    <w:p w14:paraId="4322C572" w14:textId="55097C91" w:rsidR="002B67CD" w:rsidRPr="00E0267E" w:rsidRDefault="002B67CD" w:rsidP="00774E24">
      <w:pPr>
        <w:pStyle w:val="Bullet"/>
        <w:rPr>
          <w:rFonts w:asciiTheme="minorHAnsi" w:hAnsiTheme="minorHAnsi"/>
          <w:szCs w:val="19"/>
        </w:rPr>
      </w:pPr>
      <w:r w:rsidRPr="00966BD4">
        <w:t xml:space="preserve">The measure </w:t>
      </w:r>
      <w:r w:rsidR="003C7C53" w:rsidRPr="00966BD4">
        <w:rPr>
          <w:i/>
        </w:rPr>
        <w:t>Tobacco Excise—measures to improve health outcomes and aligning the treatment of stick and non</w:t>
      </w:r>
      <w:r w:rsidR="001B77CF">
        <w:rPr>
          <w:i/>
        </w:rPr>
        <w:noBreakHyphen/>
      </w:r>
      <w:r w:rsidR="003C7C53" w:rsidRPr="00966BD4">
        <w:rPr>
          <w:i/>
        </w:rPr>
        <w:t xml:space="preserve">stick tobacco </w:t>
      </w:r>
      <w:r w:rsidRPr="00966BD4">
        <w:rPr>
          <w:i/>
        </w:rPr>
        <w:t>tax</w:t>
      </w:r>
      <w:r w:rsidRPr="00E0267E">
        <w:rPr>
          <w:rFonts w:asciiTheme="minorHAnsi" w:hAnsiTheme="minorHAnsi"/>
          <w:szCs w:val="19"/>
        </w:rPr>
        <w:t xml:space="preserve"> </w:t>
      </w:r>
      <w:r w:rsidRPr="00966BD4">
        <w:rPr>
          <w:rFonts w:asciiTheme="minorHAnsi" w:hAnsiTheme="minorHAnsi"/>
          <w:szCs w:val="19"/>
        </w:rPr>
        <w:t>which is expected to increase customs duty receipts by $290</w:t>
      </w:r>
      <w:r w:rsidR="00366C68" w:rsidRPr="00966BD4">
        <w:rPr>
          <w:rFonts w:asciiTheme="minorHAnsi" w:hAnsiTheme="minorHAnsi"/>
          <w:szCs w:val="19"/>
        </w:rPr>
        <w:t>.0</w:t>
      </w:r>
      <w:r w:rsidRPr="00966BD4">
        <w:rPr>
          <w:rFonts w:asciiTheme="minorHAnsi" w:hAnsiTheme="minorHAnsi"/>
          <w:szCs w:val="19"/>
        </w:rPr>
        <w:t xml:space="preserve"> million in </w:t>
      </w:r>
      <w:r w:rsidR="00825B55" w:rsidRPr="00966BD4">
        <w:rPr>
          <w:rFonts w:asciiTheme="minorHAnsi" w:hAnsiTheme="minorHAnsi"/>
          <w:szCs w:val="19"/>
        </w:rPr>
        <w:t>2023–2</w:t>
      </w:r>
      <w:r w:rsidRPr="00966BD4">
        <w:rPr>
          <w:rFonts w:asciiTheme="minorHAnsi" w:hAnsiTheme="minorHAnsi"/>
          <w:szCs w:val="19"/>
        </w:rPr>
        <w:t xml:space="preserve">4 and by $3.0 billion over the </w:t>
      </w:r>
      <w:r w:rsidR="00825B55" w:rsidRPr="00966BD4">
        <w:rPr>
          <w:rFonts w:asciiTheme="minorHAnsi" w:hAnsiTheme="minorHAnsi"/>
          <w:szCs w:val="19"/>
        </w:rPr>
        <w:t>5</w:t>
      </w:r>
      <w:r w:rsidRPr="00966BD4">
        <w:rPr>
          <w:rFonts w:asciiTheme="minorHAnsi" w:hAnsiTheme="minorHAnsi"/>
          <w:szCs w:val="19"/>
        </w:rPr>
        <w:t xml:space="preserve"> years </w:t>
      </w:r>
      <w:r w:rsidR="00DA0FC6" w:rsidRPr="00966BD4">
        <w:rPr>
          <w:rFonts w:asciiTheme="minorHAnsi" w:hAnsiTheme="minorHAnsi"/>
          <w:szCs w:val="19"/>
        </w:rPr>
        <w:t>from 2022</w:t>
      </w:r>
      <w:r w:rsidR="0015599E" w:rsidRPr="00966BD4">
        <w:rPr>
          <w:rFonts w:ascii="Calibri" w:hAnsi="Calibri" w:cs="Calibri"/>
        </w:rPr>
        <w:t>–</w:t>
      </w:r>
      <w:r w:rsidR="00DA0FC6" w:rsidRPr="00966BD4">
        <w:rPr>
          <w:rFonts w:asciiTheme="minorHAnsi" w:hAnsiTheme="minorHAnsi"/>
          <w:szCs w:val="19"/>
        </w:rPr>
        <w:t>23</w:t>
      </w:r>
      <w:r w:rsidRPr="00966BD4">
        <w:rPr>
          <w:rFonts w:asciiTheme="minorHAnsi" w:hAnsiTheme="minorHAnsi"/>
          <w:szCs w:val="19"/>
        </w:rPr>
        <w:t xml:space="preserve"> to 2026</w:t>
      </w:r>
      <w:r w:rsidR="0015599E" w:rsidRPr="00966BD4">
        <w:rPr>
          <w:rFonts w:ascii="Calibri" w:hAnsi="Calibri" w:cs="Calibri"/>
        </w:rPr>
        <w:t>–</w:t>
      </w:r>
      <w:r w:rsidRPr="00966BD4">
        <w:rPr>
          <w:rFonts w:asciiTheme="minorHAnsi" w:hAnsiTheme="minorHAnsi"/>
          <w:szCs w:val="19"/>
        </w:rPr>
        <w:t>27</w:t>
      </w:r>
      <w:r w:rsidR="009678D7" w:rsidRPr="00966BD4">
        <w:rPr>
          <w:rFonts w:asciiTheme="minorHAnsi" w:hAnsiTheme="minorHAnsi"/>
          <w:szCs w:val="19"/>
        </w:rPr>
        <w:t xml:space="preserve">. </w:t>
      </w:r>
    </w:p>
    <w:p w14:paraId="425ED167" w14:textId="55E798C4" w:rsidR="00C257A3" w:rsidRPr="00966BD4" w:rsidRDefault="00D907F8" w:rsidP="00774E24">
      <w:bookmarkStart w:id="36" w:name="_Hlk70928302"/>
      <w:r w:rsidRPr="00966BD4">
        <w:t xml:space="preserve">The </w:t>
      </w:r>
      <w:r w:rsidR="005C4F24" w:rsidRPr="00966BD4">
        <w:t>2023</w:t>
      </w:r>
      <w:r w:rsidR="00971F6C" w:rsidRPr="00966BD4">
        <w:t>–</w:t>
      </w:r>
      <w:r w:rsidR="005C4F24" w:rsidRPr="00966BD4">
        <w:t>24</w:t>
      </w:r>
      <w:r w:rsidRPr="00966BD4">
        <w:t xml:space="preserve"> Budget estimates continue to include provision for the Australia</w:t>
      </w:r>
      <w:r w:rsidR="006B4CC3" w:rsidRPr="00966BD4">
        <w:t xml:space="preserve"> </w:t>
      </w:r>
      <w:r w:rsidRPr="00966BD4">
        <w:t xml:space="preserve">European Union Free Trade Agreement, which has not been finalised. </w:t>
      </w:r>
      <w:r w:rsidR="00C257A3" w:rsidRPr="00966BD4">
        <w:t>This provision is assumed to impact customs duty receipts. No other F</w:t>
      </w:r>
      <w:r w:rsidR="00442C4F" w:rsidRPr="00966BD4">
        <w:t xml:space="preserve">ree </w:t>
      </w:r>
      <w:r w:rsidR="00C257A3" w:rsidRPr="00966BD4">
        <w:t>T</w:t>
      </w:r>
      <w:r w:rsidR="00C670FF" w:rsidRPr="00966BD4">
        <w:t xml:space="preserve">rade </w:t>
      </w:r>
      <w:r w:rsidR="00C257A3" w:rsidRPr="00966BD4">
        <w:t>A</w:t>
      </w:r>
      <w:r w:rsidR="00C670FF" w:rsidRPr="00966BD4">
        <w:t>greement</w:t>
      </w:r>
      <w:r w:rsidR="00C257A3" w:rsidRPr="00966BD4">
        <w:t xml:space="preserve">s </w:t>
      </w:r>
      <w:r w:rsidR="008C3D64" w:rsidRPr="00966BD4">
        <w:t xml:space="preserve">(FTAs) </w:t>
      </w:r>
      <w:r w:rsidR="00C257A3" w:rsidRPr="00966BD4">
        <w:t xml:space="preserve">that are currently under negotiation are expected to have a material impact on revenue over the forward estimates. A full list of FTAs currently under negotiation is available on the Department of Foreign Affairs and Trade website. </w:t>
      </w:r>
    </w:p>
    <w:p w14:paraId="0EAE9DE4" w14:textId="77777777" w:rsidR="00D907F8" w:rsidRPr="00966BD4" w:rsidRDefault="00D907F8" w:rsidP="00D907F8">
      <w:pPr>
        <w:pStyle w:val="Heading4"/>
      </w:pPr>
      <w:bookmarkStart w:id="37" w:name="_Toc512338388"/>
      <w:bookmarkStart w:id="38" w:name="_Toc67658755"/>
      <w:bookmarkEnd w:id="35"/>
      <w:bookmarkEnd w:id="36"/>
      <w:r w:rsidRPr="00966BD4">
        <w:lastRenderedPageBreak/>
        <w:t>Other taxes</w:t>
      </w:r>
      <w:bookmarkEnd w:id="37"/>
      <w:bookmarkEnd w:id="38"/>
    </w:p>
    <w:p w14:paraId="5BEBF769" w14:textId="0ACE1331" w:rsidR="00D907F8" w:rsidRPr="00966BD4" w:rsidRDefault="00D907F8" w:rsidP="00774E24">
      <w:r w:rsidRPr="00966BD4">
        <w:t xml:space="preserve">Other taxes encompass a range of sources of </w:t>
      </w:r>
      <w:r w:rsidR="00D102DD" w:rsidRPr="00966BD4">
        <w:t>receipts</w:t>
      </w:r>
      <w:r w:rsidRPr="00966BD4">
        <w:t>, including</w:t>
      </w:r>
      <w:r w:rsidR="00F43804" w:rsidRPr="00966BD4">
        <w:t xml:space="preserve"> visa application charges, </w:t>
      </w:r>
      <w:r w:rsidRPr="00966BD4">
        <w:t>major bank levy</w:t>
      </w:r>
      <w:r w:rsidR="000235FF" w:rsidRPr="00966BD4">
        <w:t xml:space="preserve">, </w:t>
      </w:r>
      <w:r w:rsidR="001D01B4" w:rsidRPr="00966BD4">
        <w:t>luxury car tax, wine equalisation tax</w:t>
      </w:r>
      <w:r w:rsidRPr="00966BD4">
        <w:t xml:space="preserve"> and agricultural levies. </w:t>
      </w:r>
    </w:p>
    <w:p w14:paraId="2B21D9D8" w14:textId="2C7A930B" w:rsidR="001D01B4" w:rsidRPr="00966BD4" w:rsidRDefault="00D907F8" w:rsidP="00774E24">
      <w:bookmarkStart w:id="39" w:name="_Hlk115972548"/>
      <w:r w:rsidRPr="00966BD4">
        <w:t xml:space="preserve">Since </w:t>
      </w:r>
      <w:r w:rsidR="00190407" w:rsidRPr="00966BD4">
        <w:t>the October Budget</w:t>
      </w:r>
      <w:r w:rsidRPr="00966BD4">
        <w:t>, visa application charges have been revised up by $</w:t>
      </w:r>
      <w:r w:rsidR="005F3C61" w:rsidRPr="00966BD4">
        <w:t>257</w:t>
      </w:r>
      <w:r w:rsidR="008B5AE4" w:rsidRPr="00966BD4">
        <w:t>.4</w:t>
      </w:r>
      <w:r w:rsidRPr="00966BD4">
        <w:t> million in 202</w:t>
      </w:r>
      <w:r w:rsidR="00190407" w:rsidRPr="00966BD4">
        <w:t>3</w:t>
      </w:r>
      <w:r w:rsidRPr="00966BD4">
        <w:t>–2</w:t>
      </w:r>
      <w:r w:rsidR="00190407" w:rsidRPr="00966BD4">
        <w:t>4</w:t>
      </w:r>
      <w:r w:rsidRPr="00966BD4">
        <w:t xml:space="preserve"> and $</w:t>
      </w:r>
      <w:r w:rsidR="008B5AE4" w:rsidRPr="00966BD4">
        <w:t>1.</w:t>
      </w:r>
      <w:r w:rsidR="005F3C61" w:rsidRPr="00966BD4">
        <w:t>7</w:t>
      </w:r>
      <w:r w:rsidRPr="00966BD4">
        <w:t> </w:t>
      </w:r>
      <w:r w:rsidR="00E27AD8" w:rsidRPr="00966BD4">
        <w:t>b</w:t>
      </w:r>
      <w:r w:rsidRPr="00966BD4">
        <w:t xml:space="preserve">illion over the </w:t>
      </w:r>
      <w:r w:rsidR="004E69D3" w:rsidRPr="00966BD4">
        <w:t>5</w:t>
      </w:r>
      <w:r w:rsidRPr="00966BD4" w:rsidDel="001D2000">
        <w:t xml:space="preserve"> years </w:t>
      </w:r>
      <w:r w:rsidR="001171CD" w:rsidRPr="00966BD4">
        <w:t>from 2022</w:t>
      </w:r>
      <w:r w:rsidR="0015599E" w:rsidRPr="00966BD4">
        <w:rPr>
          <w:rFonts w:ascii="Calibri" w:hAnsi="Calibri" w:cs="Calibri"/>
        </w:rPr>
        <w:t>–</w:t>
      </w:r>
      <w:r w:rsidR="001171CD" w:rsidRPr="00966BD4">
        <w:t xml:space="preserve">23 </w:t>
      </w:r>
      <w:r w:rsidRPr="00966BD4" w:rsidDel="001D2000">
        <w:t xml:space="preserve">to </w:t>
      </w:r>
      <w:r w:rsidRPr="00966BD4">
        <w:t>202</w:t>
      </w:r>
      <w:r w:rsidR="00190407" w:rsidRPr="00966BD4">
        <w:t>6</w:t>
      </w:r>
      <w:r w:rsidRPr="00966BD4">
        <w:t>–2</w:t>
      </w:r>
      <w:r w:rsidR="00190407" w:rsidRPr="00966BD4">
        <w:t>7</w:t>
      </w:r>
      <w:r w:rsidRPr="00966BD4">
        <w:t>.</w:t>
      </w:r>
    </w:p>
    <w:bookmarkEnd w:id="39"/>
    <w:p w14:paraId="5A5B4793" w14:textId="183C21C1" w:rsidR="007A2C90" w:rsidRPr="00E0267E" w:rsidRDefault="007A2C90" w:rsidP="00774E24">
      <w:pPr>
        <w:rPr>
          <w:b/>
        </w:rPr>
      </w:pPr>
      <w:r w:rsidRPr="00966BD4">
        <w:t>New tax policy measures announced since the October Budget are expected to increase other tax receipts by $6</w:t>
      </w:r>
      <w:r w:rsidR="00760CDB" w:rsidRPr="00966BD4">
        <w:t>1.</w:t>
      </w:r>
      <w:r w:rsidR="003328FC" w:rsidRPr="00966BD4">
        <w:t>3</w:t>
      </w:r>
      <w:r w:rsidRPr="00966BD4">
        <w:t xml:space="preserve"> million in 2023</w:t>
      </w:r>
      <w:r w:rsidR="0015599E" w:rsidRPr="00966BD4">
        <w:rPr>
          <w:rFonts w:ascii="Calibri" w:hAnsi="Calibri" w:cs="Calibri"/>
        </w:rPr>
        <w:t>–</w:t>
      </w:r>
      <w:r w:rsidRPr="00966BD4">
        <w:t>24 and $</w:t>
      </w:r>
      <w:r w:rsidR="00244DB5" w:rsidRPr="00966BD4">
        <w:t>837.3</w:t>
      </w:r>
      <w:r w:rsidR="00A77B2E" w:rsidRPr="00966BD4">
        <w:t xml:space="preserve"> million</w:t>
      </w:r>
      <w:r w:rsidRPr="00966BD4">
        <w:t xml:space="preserve"> over the </w:t>
      </w:r>
      <w:r w:rsidR="00825B55" w:rsidRPr="00966BD4">
        <w:t>5</w:t>
      </w:r>
      <w:r w:rsidRPr="00966BD4">
        <w:t xml:space="preserve"> years </w:t>
      </w:r>
      <w:r w:rsidR="00DA0FC6" w:rsidRPr="00966BD4">
        <w:t xml:space="preserve">from </w:t>
      </w:r>
      <w:r w:rsidR="00844235" w:rsidRPr="00966BD4">
        <w:br/>
      </w:r>
      <w:r w:rsidR="00DA0FC6" w:rsidRPr="00966BD4">
        <w:t>2022</w:t>
      </w:r>
      <w:r w:rsidR="0015599E" w:rsidRPr="00966BD4">
        <w:rPr>
          <w:rFonts w:ascii="Calibri" w:hAnsi="Calibri" w:cs="Calibri"/>
        </w:rPr>
        <w:t>–</w:t>
      </w:r>
      <w:r w:rsidR="00DA0FC6" w:rsidRPr="00966BD4">
        <w:t xml:space="preserve">23 </w:t>
      </w:r>
      <w:r w:rsidRPr="00966BD4">
        <w:t xml:space="preserve">to </w:t>
      </w:r>
      <w:r w:rsidR="00825B55" w:rsidRPr="00966BD4">
        <w:t>2026–</w:t>
      </w:r>
      <w:r w:rsidR="00844235" w:rsidRPr="00966BD4">
        <w:t>27.</w:t>
      </w:r>
      <w:r w:rsidRPr="00966BD4">
        <w:t xml:space="preserve"> Key decisions impacting other taxes include:</w:t>
      </w:r>
      <w:r w:rsidR="008C3BEA" w:rsidRPr="00966BD4">
        <w:t xml:space="preserve"> </w:t>
      </w:r>
    </w:p>
    <w:p w14:paraId="7AD5A725" w14:textId="559D8D22" w:rsidR="007A2C90" w:rsidRPr="00E0267E" w:rsidRDefault="007A2C90" w:rsidP="00774E24">
      <w:pPr>
        <w:pStyle w:val="Bullet"/>
      </w:pPr>
      <w:r w:rsidRPr="00966BD4">
        <w:t xml:space="preserve">The </w:t>
      </w:r>
      <w:r w:rsidRPr="00966BD4">
        <w:rPr>
          <w:i/>
        </w:rPr>
        <w:t xml:space="preserve">Migration – </w:t>
      </w:r>
      <w:r w:rsidR="001177D9" w:rsidRPr="00966BD4">
        <w:rPr>
          <w:i/>
        </w:rPr>
        <w:t>u</w:t>
      </w:r>
      <w:r w:rsidRPr="00966BD4">
        <w:rPr>
          <w:i/>
        </w:rPr>
        <w:t xml:space="preserve">plift of Visa Application </w:t>
      </w:r>
      <w:proofErr w:type="gramStart"/>
      <w:r w:rsidRPr="00966BD4">
        <w:rPr>
          <w:i/>
        </w:rPr>
        <w:t>Charges</w:t>
      </w:r>
      <w:permStart w:id="1045711000" w:ed="treasury.gov.au\david.gardiner"/>
      <w:permEnd w:id="1045711000"/>
      <w:r w:rsidRPr="00966BD4">
        <w:t xml:space="preserve"> </w:t>
      </w:r>
      <w:r w:rsidRPr="00E0267E">
        <w:t xml:space="preserve"> </w:t>
      </w:r>
      <w:r w:rsidRPr="00966BD4">
        <w:t>measure</w:t>
      </w:r>
      <w:proofErr w:type="gramEnd"/>
      <w:r w:rsidRPr="00966BD4">
        <w:t xml:space="preserve"> which is expected to increase Visa Application Charges by $100</w:t>
      </w:r>
      <w:r w:rsidR="00FD060B" w:rsidRPr="00966BD4">
        <w:t>.0</w:t>
      </w:r>
      <w:r w:rsidRPr="00966BD4">
        <w:t xml:space="preserve"> million in 2023</w:t>
      </w:r>
      <w:r w:rsidR="00DB1F99" w:rsidRPr="00966BD4">
        <w:rPr>
          <w:rFonts w:ascii="Calibri" w:hAnsi="Calibri" w:cs="Calibri"/>
        </w:rPr>
        <w:t>–</w:t>
      </w:r>
      <w:r w:rsidRPr="00966BD4">
        <w:t>24 and by $665</w:t>
      </w:r>
      <w:r w:rsidR="00FD060B" w:rsidRPr="00966BD4">
        <w:t>.0</w:t>
      </w:r>
      <w:r w:rsidRPr="00966BD4">
        <w:t xml:space="preserve"> million over the </w:t>
      </w:r>
      <w:r w:rsidR="00511D9E">
        <w:br/>
      </w:r>
      <w:r w:rsidR="00825B55" w:rsidRPr="00966BD4">
        <w:t>5</w:t>
      </w:r>
      <w:r w:rsidRPr="00966BD4">
        <w:t xml:space="preserve"> years </w:t>
      </w:r>
      <w:r w:rsidR="001D4B1A" w:rsidRPr="00966BD4">
        <w:t>from 2022</w:t>
      </w:r>
      <w:r w:rsidR="00DB1F99" w:rsidRPr="00966BD4">
        <w:rPr>
          <w:rFonts w:ascii="Calibri" w:hAnsi="Calibri" w:cs="Calibri"/>
        </w:rPr>
        <w:t>–</w:t>
      </w:r>
      <w:r w:rsidR="001D4B1A" w:rsidRPr="00966BD4">
        <w:t xml:space="preserve">23 </w:t>
      </w:r>
      <w:r w:rsidRPr="00966BD4">
        <w:t>to 2026</w:t>
      </w:r>
      <w:r w:rsidR="00DB1F99" w:rsidRPr="00966BD4">
        <w:rPr>
          <w:rFonts w:ascii="Calibri" w:hAnsi="Calibri" w:cs="Calibri"/>
        </w:rPr>
        <w:t>–</w:t>
      </w:r>
      <w:r w:rsidRPr="00966BD4">
        <w:t>27.</w:t>
      </w:r>
    </w:p>
    <w:p w14:paraId="717A20FD" w14:textId="734D66A3" w:rsidR="007A2C90" w:rsidRPr="00966BD4" w:rsidRDefault="007A2C90" w:rsidP="00774E24">
      <w:pPr>
        <w:pStyle w:val="Bullet"/>
      </w:pPr>
      <w:r w:rsidRPr="00966BD4">
        <w:t xml:space="preserve">The measure </w:t>
      </w:r>
      <w:r w:rsidRPr="00966BD4">
        <w:rPr>
          <w:i/>
        </w:rPr>
        <w:t xml:space="preserve">Increasing the </w:t>
      </w:r>
      <w:r w:rsidR="007D739A" w:rsidRPr="00966BD4">
        <w:rPr>
          <w:i/>
        </w:rPr>
        <w:t>P</w:t>
      </w:r>
      <w:r w:rsidRPr="00966BD4">
        <w:rPr>
          <w:i/>
        </w:rPr>
        <w:t xml:space="preserve">assenger </w:t>
      </w:r>
      <w:r w:rsidR="007D739A" w:rsidRPr="00966BD4">
        <w:rPr>
          <w:i/>
        </w:rPr>
        <w:t>M</w:t>
      </w:r>
      <w:r w:rsidRPr="00966BD4">
        <w:rPr>
          <w:i/>
        </w:rPr>
        <w:t xml:space="preserve">ovement </w:t>
      </w:r>
      <w:r w:rsidR="007D739A" w:rsidRPr="00966BD4">
        <w:rPr>
          <w:i/>
        </w:rPr>
        <w:t>C</w:t>
      </w:r>
      <w:r w:rsidRPr="00966BD4">
        <w:rPr>
          <w:i/>
        </w:rPr>
        <w:t>harge</w:t>
      </w:r>
      <w:r w:rsidRPr="00966BD4">
        <w:t xml:space="preserve"> which is expected to have no impact on other tax receipts in </w:t>
      </w:r>
      <w:r w:rsidR="00825B55" w:rsidRPr="00966BD4">
        <w:t>2023–2</w:t>
      </w:r>
      <w:r w:rsidRPr="00966BD4">
        <w:t>4 but increase other tax receipts by $520</w:t>
      </w:r>
      <w:r w:rsidR="00FD060B" w:rsidRPr="00966BD4">
        <w:t>.0</w:t>
      </w:r>
      <w:r w:rsidRPr="00966BD4">
        <w:t xml:space="preserve"> million over the </w:t>
      </w:r>
      <w:r w:rsidR="00825B55" w:rsidRPr="00966BD4">
        <w:t>5</w:t>
      </w:r>
      <w:r w:rsidRPr="00966BD4">
        <w:t xml:space="preserve"> years </w:t>
      </w:r>
      <w:r w:rsidR="001D4B1A" w:rsidRPr="00966BD4">
        <w:t>from 2022</w:t>
      </w:r>
      <w:r w:rsidR="00DB1F99" w:rsidRPr="00966BD4">
        <w:rPr>
          <w:rFonts w:ascii="Calibri" w:hAnsi="Calibri" w:cs="Calibri"/>
        </w:rPr>
        <w:t>–</w:t>
      </w:r>
      <w:r w:rsidR="001D4B1A" w:rsidRPr="00966BD4">
        <w:t xml:space="preserve">23 </w:t>
      </w:r>
      <w:r w:rsidRPr="00966BD4">
        <w:t>to 2026</w:t>
      </w:r>
      <w:r w:rsidR="00DB1F99" w:rsidRPr="00966BD4">
        <w:rPr>
          <w:rFonts w:ascii="Calibri" w:hAnsi="Calibri" w:cs="Calibri"/>
        </w:rPr>
        <w:t>–</w:t>
      </w:r>
      <w:r w:rsidRPr="00966BD4">
        <w:t>27</w:t>
      </w:r>
      <w:r w:rsidR="009678D7" w:rsidRPr="00966BD4">
        <w:t xml:space="preserve">. </w:t>
      </w:r>
    </w:p>
    <w:p w14:paraId="07D167B7" w14:textId="34F25C31" w:rsidR="00D907F8" w:rsidRPr="00966BD4" w:rsidRDefault="00D907F8" w:rsidP="0079333C">
      <w:pPr>
        <w:pStyle w:val="Heading3"/>
      </w:pPr>
      <w:bookmarkStart w:id="40" w:name="_Toc512338389"/>
      <w:bookmarkStart w:id="41" w:name="_Toc67658756"/>
      <w:bookmarkStart w:id="42" w:name="_Toc99201822"/>
      <w:bookmarkStart w:id="43" w:name="_Toc117324549"/>
      <w:bookmarkStart w:id="44" w:name="_Toc134182349"/>
      <w:r w:rsidRPr="00966BD4">
        <w:t>Non</w:t>
      </w:r>
      <w:r w:rsidR="00CE192D" w:rsidRPr="00966BD4">
        <w:rPr>
          <w:szCs w:val="19"/>
        </w:rPr>
        <w:t>–</w:t>
      </w:r>
      <w:r w:rsidRPr="00966BD4">
        <w:t>tax receipts</w:t>
      </w:r>
      <w:bookmarkEnd w:id="40"/>
      <w:bookmarkEnd w:id="41"/>
      <w:bookmarkEnd w:id="42"/>
      <w:bookmarkEnd w:id="43"/>
      <w:r w:rsidRPr="00966BD4">
        <w:t xml:space="preserve"> </w:t>
      </w:r>
      <w:r w:rsidR="00EC6D3C" w:rsidRPr="00966BD4">
        <w:t>estimates</w:t>
      </w:r>
      <w:bookmarkEnd w:id="44"/>
    </w:p>
    <w:p w14:paraId="7DEAEDDB" w14:textId="041E1FC2" w:rsidR="00026809" w:rsidRPr="00966BD4" w:rsidRDefault="00026809" w:rsidP="00774E24">
      <w:r w:rsidRPr="00966BD4">
        <w:t>Since the October Budget, non</w:t>
      </w:r>
      <w:r w:rsidR="001B77CF">
        <w:noBreakHyphen/>
      </w:r>
      <w:r w:rsidRPr="00966BD4">
        <w:t xml:space="preserve">tax receipts are expected to increase by $4.7 billion in </w:t>
      </w:r>
      <w:r w:rsidR="00DB1F99" w:rsidRPr="00966BD4">
        <w:br/>
      </w:r>
      <w:r w:rsidRPr="00966BD4">
        <w:t>202</w:t>
      </w:r>
      <w:r w:rsidR="00FB3095" w:rsidRPr="00966BD4">
        <w:t>3–</w:t>
      </w:r>
      <w:r w:rsidRPr="00966BD4">
        <w:t>24 and by $</w:t>
      </w:r>
      <w:r w:rsidR="0094032C" w:rsidRPr="00966BD4">
        <w:t>20.7</w:t>
      </w:r>
      <w:r w:rsidRPr="00966BD4">
        <w:t xml:space="preserve"> billion over the 5 years from 2022</w:t>
      </w:r>
      <w:r w:rsidR="00CE192D" w:rsidRPr="00966BD4">
        <w:t>–</w:t>
      </w:r>
      <w:r w:rsidRPr="00966BD4">
        <w:t>23 to 2026</w:t>
      </w:r>
      <w:r w:rsidR="00CE192D" w:rsidRPr="00966BD4">
        <w:t>–</w:t>
      </w:r>
      <w:r w:rsidRPr="00966BD4">
        <w:t xml:space="preserve">27. </w:t>
      </w:r>
    </w:p>
    <w:p w14:paraId="38B3ED4F" w14:textId="53011F00" w:rsidR="00026809" w:rsidRPr="00966BD4" w:rsidRDefault="00026809" w:rsidP="00774E24">
      <w:r w:rsidRPr="00966BD4">
        <w:t xml:space="preserve">Parameter and other variations account for </w:t>
      </w:r>
      <w:proofErr w:type="gramStart"/>
      <w:r w:rsidRPr="00966BD4">
        <w:t>the majority of</w:t>
      </w:r>
      <w:proofErr w:type="gramEnd"/>
      <w:r w:rsidRPr="00966BD4">
        <w:t xml:space="preserve"> this movement and are expected to increase non</w:t>
      </w:r>
      <w:r w:rsidR="001B77CF">
        <w:noBreakHyphen/>
      </w:r>
      <w:r w:rsidRPr="00966BD4">
        <w:t>tax receipts by $</w:t>
      </w:r>
      <w:r w:rsidR="0094032C" w:rsidRPr="00966BD4">
        <w:t>4.2</w:t>
      </w:r>
      <w:r w:rsidRPr="00966BD4">
        <w:t xml:space="preserve"> billion in 2023</w:t>
      </w:r>
      <w:r w:rsidR="00CE192D" w:rsidRPr="00966BD4">
        <w:t>–</w:t>
      </w:r>
      <w:r w:rsidRPr="00966BD4">
        <w:t>24, and by $</w:t>
      </w:r>
      <w:r w:rsidR="0094032C" w:rsidRPr="00966BD4">
        <w:t>17.8</w:t>
      </w:r>
      <w:r w:rsidRPr="00966BD4">
        <w:t xml:space="preserve"> billion over the 5 years from 2022</w:t>
      </w:r>
      <w:r w:rsidR="00CE192D" w:rsidRPr="00966BD4">
        <w:t>–</w:t>
      </w:r>
      <w:r w:rsidRPr="00966BD4">
        <w:t>23 to 2026</w:t>
      </w:r>
      <w:r w:rsidR="00CE192D" w:rsidRPr="00966BD4">
        <w:t>–</w:t>
      </w:r>
      <w:r w:rsidRPr="00966BD4">
        <w:t>27. This movement is driven by higher earnings from interest on cash deposits due to the rise in short</w:t>
      </w:r>
      <w:r w:rsidR="001B77CF">
        <w:noBreakHyphen/>
      </w:r>
      <w:r w:rsidRPr="00966BD4">
        <w:t>term interest rates, higher earnings from the Future Fund and the Australian Government Investment Funds, as well as higher demand for Australian passports. In addition, non</w:t>
      </w:r>
      <w:r w:rsidR="00CE192D" w:rsidRPr="00966BD4">
        <w:t>–</w:t>
      </w:r>
      <w:r w:rsidR="00712A97" w:rsidRPr="00966BD4">
        <w:t>t</w:t>
      </w:r>
      <w:r w:rsidRPr="00966BD4">
        <w:t>ax receipts have been revised down by $3.0 billion in 2026</w:t>
      </w:r>
      <w:r w:rsidR="00CE192D" w:rsidRPr="00966BD4">
        <w:t>–</w:t>
      </w:r>
      <w:r w:rsidRPr="00966BD4">
        <w:t>27 to account for the difference between the medium</w:t>
      </w:r>
      <w:r w:rsidR="00CE192D" w:rsidRPr="00966BD4">
        <w:t>–</w:t>
      </w:r>
      <w:r w:rsidRPr="00966BD4">
        <w:t xml:space="preserve">term </w:t>
      </w:r>
      <w:r w:rsidR="00BF52A5" w:rsidRPr="00966BD4">
        <w:t>projection</w:t>
      </w:r>
      <w:r w:rsidR="00343A74" w:rsidRPr="00966BD4">
        <w:t xml:space="preserve"> methodology</w:t>
      </w:r>
      <w:r w:rsidRPr="00966BD4">
        <w:t xml:space="preserve"> at the October Budget and the </w:t>
      </w:r>
      <w:r w:rsidR="006323D0" w:rsidRPr="00966BD4">
        <w:t>forward</w:t>
      </w:r>
      <w:r w:rsidRPr="00966BD4">
        <w:t xml:space="preserve"> estimate </w:t>
      </w:r>
      <w:r w:rsidR="00927B25" w:rsidRPr="00966BD4">
        <w:t xml:space="preserve">in this </w:t>
      </w:r>
      <w:r w:rsidR="00922678" w:rsidRPr="00966BD4">
        <w:t>Budget</w:t>
      </w:r>
      <w:r w:rsidRPr="00966BD4">
        <w:t xml:space="preserve">. </w:t>
      </w:r>
    </w:p>
    <w:p w14:paraId="3241C760" w14:textId="2152C26A" w:rsidR="00F80E67" w:rsidRPr="00E0267E" w:rsidRDefault="0043403C" w:rsidP="00774E24">
      <w:r w:rsidRPr="00966BD4">
        <w:t>Policy decisions are expected to increase non</w:t>
      </w:r>
      <w:r w:rsidR="00CE192D" w:rsidRPr="00966BD4">
        <w:t>–</w:t>
      </w:r>
      <w:r w:rsidR="00026809" w:rsidRPr="00966BD4">
        <w:t>tax receipts by $0.5 billion in 2023</w:t>
      </w:r>
      <w:r w:rsidR="00CE192D" w:rsidRPr="00966BD4">
        <w:t>–</w:t>
      </w:r>
      <w:r w:rsidR="00026809" w:rsidRPr="00966BD4">
        <w:t xml:space="preserve">24, and by $2.9 </w:t>
      </w:r>
      <w:r w:rsidRPr="00966BD4">
        <w:t>billion over the 5</w:t>
      </w:r>
      <w:r w:rsidR="00026809" w:rsidRPr="00966BD4">
        <w:t xml:space="preserve"> </w:t>
      </w:r>
      <w:r w:rsidRPr="00966BD4">
        <w:t>years from 2022–23 to 2026</w:t>
      </w:r>
      <w:r w:rsidR="00CE192D" w:rsidRPr="00966BD4">
        <w:t>–</w:t>
      </w:r>
      <w:r w:rsidRPr="00966BD4">
        <w:t>27. This movement includes the expected earnings of the National Reconstruction Fund Corporation, as announced in the 2023</w:t>
      </w:r>
      <w:r w:rsidR="00CE192D" w:rsidRPr="00966BD4">
        <w:t>–</w:t>
      </w:r>
      <w:r w:rsidRPr="00966BD4">
        <w:t xml:space="preserve">24 Budget measure </w:t>
      </w:r>
      <w:r w:rsidRPr="00966BD4">
        <w:rPr>
          <w:i/>
        </w:rPr>
        <w:t>National Reconstruction Fund Corporation – establishment</w:t>
      </w:r>
      <w:r w:rsidRPr="00966BD4">
        <w:t>, receipts associated with the 2023</w:t>
      </w:r>
      <w:r w:rsidR="00CE192D" w:rsidRPr="00966BD4">
        <w:t>–</w:t>
      </w:r>
      <w:r w:rsidRPr="00966BD4">
        <w:t xml:space="preserve">24 Budget measure </w:t>
      </w:r>
      <w:r w:rsidRPr="00966BD4">
        <w:rPr>
          <w:i/>
        </w:rPr>
        <w:t xml:space="preserve">Enduring Funding Mechanism for </w:t>
      </w:r>
      <w:proofErr w:type="spellStart"/>
      <w:r w:rsidR="00026809" w:rsidRPr="00966BD4">
        <w:rPr>
          <w:i/>
        </w:rPr>
        <w:t>Aus</w:t>
      </w:r>
      <w:r w:rsidR="00D26346" w:rsidRPr="00966BD4">
        <w:rPr>
          <w:i/>
        </w:rPr>
        <w:t>C</w:t>
      </w:r>
      <w:r w:rsidR="00026809" w:rsidRPr="00966BD4">
        <w:rPr>
          <w:i/>
        </w:rPr>
        <w:t>heck</w:t>
      </w:r>
      <w:proofErr w:type="spellEnd"/>
      <w:r w:rsidR="00026809" w:rsidRPr="00966BD4">
        <w:t>,</w:t>
      </w:r>
      <w:r w:rsidRPr="00966BD4">
        <w:t xml:space="preserve"> and receipts associated with the 2023</w:t>
      </w:r>
      <w:r w:rsidR="00CE192D" w:rsidRPr="00966BD4">
        <w:t>–</w:t>
      </w:r>
      <w:r w:rsidRPr="00966BD4">
        <w:t xml:space="preserve">24 Budget measure </w:t>
      </w:r>
      <w:r w:rsidR="00CE192D" w:rsidRPr="00966BD4">
        <w:rPr>
          <w:i/>
        </w:rPr>
        <w:t>Strengthened and Sustainably Funded</w:t>
      </w:r>
      <w:r w:rsidRPr="00966BD4">
        <w:rPr>
          <w:i/>
        </w:rPr>
        <w:t xml:space="preserve"> </w:t>
      </w:r>
      <w:r w:rsidR="00456AF1">
        <w:rPr>
          <w:i/>
        </w:rPr>
        <w:br/>
      </w:r>
      <w:r w:rsidRPr="00966BD4">
        <w:rPr>
          <w:i/>
        </w:rPr>
        <w:t xml:space="preserve">Biosecurity </w:t>
      </w:r>
      <w:r w:rsidR="00CE192D" w:rsidRPr="00966BD4">
        <w:rPr>
          <w:i/>
        </w:rPr>
        <w:t>System</w:t>
      </w:r>
      <w:r w:rsidR="00026809" w:rsidRPr="00966BD4">
        <w:t>.</w:t>
      </w:r>
      <w:r w:rsidR="00E923AB" w:rsidRPr="00966BD4">
        <w:rPr>
          <w:szCs w:val="19"/>
        </w:rPr>
        <w:t xml:space="preserve"> </w:t>
      </w:r>
    </w:p>
    <w:p w14:paraId="7E43009D" w14:textId="77777777" w:rsidR="00F80E67" w:rsidRPr="00E0267E" w:rsidRDefault="00F80E67" w:rsidP="00774E24">
      <w:r w:rsidRPr="00E0267E">
        <w:br w:type="page"/>
      </w:r>
    </w:p>
    <w:p w14:paraId="7743B83B" w14:textId="6FEBDC5A" w:rsidR="001A4CA0" w:rsidRPr="00966BD4" w:rsidRDefault="00C94432" w:rsidP="004103D3">
      <w:pPr>
        <w:pStyle w:val="TableHeading"/>
        <w:rPr>
          <w:rFonts w:asciiTheme="minorHAnsi" w:eastAsiaTheme="minorHAnsi" w:hAnsiTheme="minorHAnsi" w:cstheme="minorBidi"/>
          <w:b w:val="0"/>
          <w:sz w:val="22"/>
          <w:szCs w:val="22"/>
          <w:lang w:eastAsia="en-US"/>
        </w:rPr>
      </w:pPr>
      <w:r w:rsidRPr="00966BD4">
        <w:lastRenderedPageBreak/>
        <w:t>Table 5.5: Reconciliation of 202</w:t>
      </w:r>
      <w:r w:rsidR="00825B55" w:rsidRPr="00966BD4">
        <w:t>2–2</w:t>
      </w:r>
      <w:r w:rsidRPr="00966BD4">
        <w:t>3 general government (cash) receipt</w:t>
      </w:r>
      <w:r w:rsidR="001A4CA0" w:rsidRPr="00966BD4">
        <w:t>s</w:t>
      </w:r>
    </w:p>
    <w:tbl>
      <w:tblPr>
        <w:tblW w:w="5000" w:type="pct"/>
        <w:tblCellMar>
          <w:left w:w="0" w:type="dxa"/>
          <w:right w:w="28" w:type="dxa"/>
        </w:tblCellMar>
        <w:tblLook w:val="04A0" w:firstRow="1" w:lastRow="0" w:firstColumn="1" w:lastColumn="0" w:noHBand="0" w:noVBand="1"/>
      </w:tblPr>
      <w:tblGrid>
        <w:gridCol w:w="3306"/>
        <w:gridCol w:w="1149"/>
        <w:gridCol w:w="1063"/>
        <w:gridCol w:w="73"/>
        <w:gridCol w:w="1060"/>
        <w:gridCol w:w="1059"/>
      </w:tblGrid>
      <w:tr w:rsidR="001A4CA0" w:rsidRPr="00966BD4" w14:paraId="19362A31" w14:textId="77777777" w:rsidTr="001A4CA0">
        <w:trPr>
          <w:trHeight w:hRule="exact" w:val="225"/>
        </w:trPr>
        <w:tc>
          <w:tcPr>
            <w:tcW w:w="2182" w:type="pct"/>
            <w:tcBorders>
              <w:top w:val="single" w:sz="4" w:space="0" w:color="293F5B"/>
              <w:left w:val="nil"/>
              <w:bottom w:val="nil"/>
              <w:right w:val="nil"/>
            </w:tcBorders>
            <w:shd w:val="clear" w:color="auto" w:fill="auto"/>
            <w:noWrap/>
            <w:vAlign w:val="center"/>
            <w:hideMark/>
          </w:tcPr>
          <w:p w14:paraId="588B2DE4" w14:textId="3B0CDB3E"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 </w:t>
            </w:r>
          </w:p>
        </w:tc>
        <w:tc>
          <w:tcPr>
            <w:tcW w:w="1453" w:type="pct"/>
            <w:gridSpan w:val="2"/>
            <w:tcBorders>
              <w:top w:val="single" w:sz="4" w:space="0" w:color="293F5B"/>
              <w:left w:val="nil"/>
              <w:bottom w:val="nil"/>
              <w:right w:val="nil"/>
            </w:tcBorders>
            <w:shd w:val="clear" w:color="auto" w:fill="auto"/>
            <w:noWrap/>
            <w:vAlign w:val="center"/>
            <w:hideMark/>
          </w:tcPr>
          <w:p w14:paraId="6E6C763E" w14:textId="77777777" w:rsidR="001A4CA0" w:rsidRPr="00966BD4" w:rsidRDefault="001A4CA0" w:rsidP="001A4CA0">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1" w:type="pct"/>
            <w:tcBorders>
              <w:top w:val="single" w:sz="4" w:space="0" w:color="293F5B"/>
              <w:left w:val="nil"/>
              <w:bottom w:val="nil"/>
              <w:right w:val="nil"/>
            </w:tcBorders>
            <w:shd w:val="clear" w:color="auto" w:fill="auto"/>
            <w:noWrap/>
            <w:vAlign w:val="center"/>
            <w:hideMark/>
          </w:tcPr>
          <w:p w14:paraId="5201106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 </w:t>
            </w:r>
          </w:p>
        </w:tc>
        <w:tc>
          <w:tcPr>
            <w:tcW w:w="1313" w:type="pct"/>
            <w:gridSpan w:val="2"/>
            <w:tcBorders>
              <w:top w:val="single" w:sz="4" w:space="0" w:color="293F5B"/>
              <w:left w:val="nil"/>
              <w:bottom w:val="nil"/>
              <w:right w:val="nil"/>
            </w:tcBorders>
            <w:shd w:val="clear" w:color="auto" w:fill="auto"/>
            <w:noWrap/>
            <w:vAlign w:val="center"/>
            <w:hideMark/>
          </w:tcPr>
          <w:p w14:paraId="0DDE036D" w14:textId="77777777" w:rsidR="001A4CA0" w:rsidRPr="00966BD4" w:rsidRDefault="001A4CA0" w:rsidP="001A4CA0">
            <w:pPr>
              <w:spacing w:before="0" w:after="0" w:line="240" w:lineRule="auto"/>
              <w:jc w:val="center"/>
              <w:rPr>
                <w:rFonts w:ascii="Arial" w:hAnsi="Arial" w:cs="Arial"/>
                <w:sz w:val="16"/>
                <w:szCs w:val="16"/>
              </w:rPr>
            </w:pPr>
            <w:r w:rsidRPr="00966BD4">
              <w:rPr>
                <w:rFonts w:ascii="Arial" w:hAnsi="Arial" w:cs="Arial"/>
                <w:sz w:val="16"/>
                <w:szCs w:val="16"/>
              </w:rPr>
              <w:t>Change from October Budget</w:t>
            </w:r>
          </w:p>
        </w:tc>
      </w:tr>
      <w:tr w:rsidR="001A4CA0" w:rsidRPr="00966BD4" w14:paraId="490ADC95"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DFD591D" w14:textId="77777777" w:rsidR="001A4CA0" w:rsidRPr="00966BD4" w:rsidRDefault="001A4CA0" w:rsidP="001A4CA0">
            <w:pPr>
              <w:spacing w:before="0" w:after="0" w:line="240" w:lineRule="auto"/>
              <w:jc w:val="center"/>
              <w:rPr>
                <w:rFonts w:ascii="Arial" w:hAnsi="Arial" w:cs="Arial"/>
                <w:sz w:val="16"/>
                <w:szCs w:val="16"/>
              </w:rPr>
            </w:pPr>
          </w:p>
        </w:tc>
        <w:tc>
          <w:tcPr>
            <w:tcW w:w="727" w:type="pct"/>
            <w:tcBorders>
              <w:top w:val="single" w:sz="4" w:space="0" w:color="293F5B"/>
              <w:left w:val="nil"/>
              <w:bottom w:val="nil"/>
              <w:right w:val="nil"/>
            </w:tcBorders>
            <w:shd w:val="clear" w:color="000000" w:fill="FFFFFF"/>
            <w:noWrap/>
            <w:vAlign w:val="center"/>
            <w:hideMark/>
          </w:tcPr>
          <w:p w14:paraId="0B509A09"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October Budget</w:t>
            </w:r>
          </w:p>
        </w:tc>
        <w:tc>
          <w:tcPr>
            <w:tcW w:w="727" w:type="pct"/>
            <w:tcBorders>
              <w:top w:val="single" w:sz="4" w:space="0" w:color="293F5B"/>
              <w:left w:val="nil"/>
              <w:bottom w:val="nil"/>
              <w:right w:val="nil"/>
            </w:tcBorders>
            <w:shd w:val="clear" w:color="000000" w:fill="E6F2FF"/>
            <w:noWrap/>
            <w:vAlign w:val="center"/>
            <w:hideMark/>
          </w:tcPr>
          <w:p w14:paraId="2E31FF59"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Budget</w:t>
            </w:r>
          </w:p>
        </w:tc>
        <w:tc>
          <w:tcPr>
            <w:tcW w:w="51" w:type="pct"/>
            <w:tcBorders>
              <w:top w:val="nil"/>
              <w:left w:val="nil"/>
              <w:bottom w:val="nil"/>
              <w:right w:val="nil"/>
            </w:tcBorders>
            <w:shd w:val="clear" w:color="auto" w:fill="auto"/>
            <w:noWrap/>
            <w:vAlign w:val="center"/>
            <w:hideMark/>
          </w:tcPr>
          <w:p w14:paraId="4F1DB606"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41DCE2F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 </w:t>
            </w:r>
          </w:p>
        </w:tc>
        <w:tc>
          <w:tcPr>
            <w:tcW w:w="657" w:type="pct"/>
            <w:tcBorders>
              <w:top w:val="single" w:sz="4" w:space="0" w:color="293F5B"/>
              <w:left w:val="nil"/>
              <w:bottom w:val="nil"/>
              <w:right w:val="nil"/>
            </w:tcBorders>
            <w:shd w:val="clear" w:color="auto" w:fill="auto"/>
            <w:noWrap/>
            <w:vAlign w:val="center"/>
            <w:hideMark/>
          </w:tcPr>
          <w:p w14:paraId="51FBEEF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 </w:t>
            </w:r>
          </w:p>
        </w:tc>
      </w:tr>
      <w:tr w:rsidR="001A4CA0" w:rsidRPr="00966BD4" w14:paraId="646B6C7E" w14:textId="77777777" w:rsidTr="001A4CA0">
        <w:trPr>
          <w:trHeight w:hRule="exact" w:val="225"/>
        </w:trPr>
        <w:tc>
          <w:tcPr>
            <w:tcW w:w="2182" w:type="pct"/>
            <w:tcBorders>
              <w:top w:val="nil"/>
              <w:left w:val="nil"/>
              <w:bottom w:val="nil"/>
              <w:right w:val="nil"/>
            </w:tcBorders>
            <w:shd w:val="clear" w:color="auto" w:fill="auto"/>
            <w:vAlign w:val="center"/>
            <w:hideMark/>
          </w:tcPr>
          <w:p w14:paraId="40BD2715" w14:textId="77777777" w:rsidR="001A4CA0" w:rsidRPr="00966BD4" w:rsidRDefault="001A4CA0" w:rsidP="001A4CA0">
            <w:pPr>
              <w:spacing w:before="0" w:after="0" w:line="240" w:lineRule="auto"/>
              <w:jc w:val="right"/>
              <w:rPr>
                <w:rFonts w:ascii="Arial" w:hAnsi="Arial" w:cs="Arial"/>
                <w:sz w:val="16"/>
                <w:szCs w:val="16"/>
              </w:rPr>
            </w:pPr>
          </w:p>
        </w:tc>
        <w:tc>
          <w:tcPr>
            <w:tcW w:w="727" w:type="pct"/>
            <w:tcBorders>
              <w:top w:val="nil"/>
              <w:left w:val="nil"/>
              <w:bottom w:val="nil"/>
              <w:right w:val="nil"/>
            </w:tcBorders>
            <w:shd w:val="clear" w:color="auto" w:fill="auto"/>
            <w:vAlign w:val="center"/>
            <w:hideMark/>
          </w:tcPr>
          <w:p w14:paraId="33911A2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$m</w:t>
            </w:r>
          </w:p>
        </w:tc>
        <w:tc>
          <w:tcPr>
            <w:tcW w:w="727" w:type="pct"/>
            <w:tcBorders>
              <w:top w:val="nil"/>
              <w:left w:val="nil"/>
              <w:bottom w:val="nil"/>
              <w:right w:val="nil"/>
            </w:tcBorders>
            <w:shd w:val="clear" w:color="000000" w:fill="E6F2FF"/>
            <w:noWrap/>
            <w:vAlign w:val="center"/>
            <w:hideMark/>
          </w:tcPr>
          <w:p w14:paraId="60A46B75"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$m</w:t>
            </w:r>
          </w:p>
        </w:tc>
        <w:tc>
          <w:tcPr>
            <w:tcW w:w="51" w:type="pct"/>
            <w:tcBorders>
              <w:top w:val="nil"/>
              <w:left w:val="nil"/>
              <w:bottom w:val="nil"/>
              <w:right w:val="nil"/>
            </w:tcBorders>
            <w:shd w:val="clear" w:color="auto" w:fill="auto"/>
            <w:vAlign w:val="center"/>
            <w:hideMark/>
          </w:tcPr>
          <w:p w14:paraId="1EBB50EE"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vAlign w:val="center"/>
            <w:hideMark/>
          </w:tcPr>
          <w:p w14:paraId="131C83B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$m</w:t>
            </w:r>
          </w:p>
        </w:tc>
        <w:tc>
          <w:tcPr>
            <w:tcW w:w="657" w:type="pct"/>
            <w:tcBorders>
              <w:top w:val="nil"/>
              <w:left w:val="nil"/>
              <w:bottom w:val="nil"/>
              <w:right w:val="nil"/>
            </w:tcBorders>
            <w:shd w:val="clear" w:color="auto" w:fill="auto"/>
            <w:vAlign w:val="center"/>
            <w:hideMark/>
          </w:tcPr>
          <w:p w14:paraId="47F6DC3A"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w:t>
            </w:r>
          </w:p>
        </w:tc>
      </w:tr>
      <w:tr w:rsidR="001A4CA0" w:rsidRPr="00966BD4" w14:paraId="446FF15C" w14:textId="77777777" w:rsidTr="001A4CA0">
        <w:trPr>
          <w:trHeight w:hRule="exact" w:val="225"/>
        </w:trPr>
        <w:tc>
          <w:tcPr>
            <w:tcW w:w="2182" w:type="pct"/>
            <w:tcBorders>
              <w:top w:val="nil"/>
              <w:left w:val="nil"/>
              <w:bottom w:val="nil"/>
              <w:right w:val="nil"/>
            </w:tcBorders>
            <w:shd w:val="clear" w:color="auto" w:fill="auto"/>
            <w:noWrap/>
            <w:vAlign w:val="center"/>
            <w:hideMark/>
          </w:tcPr>
          <w:p w14:paraId="082E0C4C"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Individuals and other withholding taxes</w:t>
            </w:r>
          </w:p>
        </w:tc>
        <w:tc>
          <w:tcPr>
            <w:tcW w:w="727" w:type="pct"/>
            <w:tcBorders>
              <w:top w:val="single" w:sz="4" w:space="0" w:color="293F5B"/>
              <w:left w:val="nil"/>
              <w:bottom w:val="nil"/>
              <w:right w:val="nil"/>
            </w:tcBorders>
            <w:shd w:val="clear" w:color="auto" w:fill="auto"/>
            <w:noWrap/>
            <w:vAlign w:val="center"/>
            <w:hideMark/>
          </w:tcPr>
          <w:p w14:paraId="699A700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 </w:t>
            </w:r>
          </w:p>
        </w:tc>
        <w:tc>
          <w:tcPr>
            <w:tcW w:w="727" w:type="pct"/>
            <w:tcBorders>
              <w:top w:val="single" w:sz="4" w:space="0" w:color="293F5B"/>
              <w:left w:val="nil"/>
              <w:bottom w:val="nil"/>
              <w:right w:val="nil"/>
            </w:tcBorders>
            <w:shd w:val="clear" w:color="000000" w:fill="E6F2FF"/>
            <w:noWrap/>
            <w:vAlign w:val="center"/>
            <w:hideMark/>
          </w:tcPr>
          <w:p w14:paraId="64C809F7"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693331A1" w14:textId="77777777" w:rsidR="001A4CA0" w:rsidRPr="00966BD4" w:rsidRDefault="001A4CA0" w:rsidP="001A4CA0">
            <w:pPr>
              <w:spacing w:before="0" w:after="0" w:line="240" w:lineRule="auto"/>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6C03D2B7"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 </w:t>
            </w:r>
          </w:p>
        </w:tc>
        <w:tc>
          <w:tcPr>
            <w:tcW w:w="657" w:type="pct"/>
            <w:tcBorders>
              <w:top w:val="single" w:sz="4" w:space="0" w:color="293F5B"/>
              <w:left w:val="nil"/>
              <w:bottom w:val="nil"/>
              <w:right w:val="nil"/>
            </w:tcBorders>
            <w:shd w:val="clear" w:color="auto" w:fill="auto"/>
            <w:noWrap/>
            <w:vAlign w:val="center"/>
            <w:hideMark/>
          </w:tcPr>
          <w:p w14:paraId="69B79F87"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 </w:t>
            </w:r>
          </w:p>
        </w:tc>
      </w:tr>
      <w:tr w:rsidR="001A4CA0" w:rsidRPr="00966BD4" w14:paraId="3CD3B4B1" w14:textId="77777777" w:rsidTr="001A4CA0">
        <w:trPr>
          <w:trHeight w:hRule="exact" w:val="225"/>
        </w:trPr>
        <w:tc>
          <w:tcPr>
            <w:tcW w:w="2182" w:type="pct"/>
            <w:tcBorders>
              <w:top w:val="nil"/>
              <w:left w:val="nil"/>
              <w:bottom w:val="nil"/>
              <w:right w:val="nil"/>
            </w:tcBorders>
            <w:shd w:val="clear" w:color="auto" w:fill="auto"/>
            <w:noWrap/>
            <w:vAlign w:val="center"/>
            <w:hideMark/>
          </w:tcPr>
          <w:p w14:paraId="158B1ECE"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Gross income tax withholding</w:t>
            </w:r>
          </w:p>
        </w:tc>
        <w:tc>
          <w:tcPr>
            <w:tcW w:w="727" w:type="pct"/>
            <w:tcBorders>
              <w:top w:val="nil"/>
              <w:left w:val="nil"/>
              <w:bottom w:val="nil"/>
              <w:right w:val="nil"/>
            </w:tcBorders>
            <w:shd w:val="clear" w:color="auto" w:fill="auto"/>
            <w:noWrap/>
            <w:vAlign w:val="center"/>
            <w:hideMark/>
          </w:tcPr>
          <w:p w14:paraId="15298A2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260,000</w:t>
            </w:r>
          </w:p>
        </w:tc>
        <w:tc>
          <w:tcPr>
            <w:tcW w:w="727" w:type="pct"/>
            <w:tcBorders>
              <w:top w:val="nil"/>
              <w:left w:val="nil"/>
              <w:bottom w:val="nil"/>
              <w:right w:val="nil"/>
            </w:tcBorders>
            <w:shd w:val="clear" w:color="000000" w:fill="E6F2FF"/>
            <w:noWrap/>
            <w:vAlign w:val="center"/>
            <w:hideMark/>
          </w:tcPr>
          <w:p w14:paraId="75A587F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269,600</w:t>
            </w:r>
          </w:p>
        </w:tc>
        <w:tc>
          <w:tcPr>
            <w:tcW w:w="51" w:type="pct"/>
            <w:tcBorders>
              <w:top w:val="nil"/>
              <w:left w:val="nil"/>
              <w:bottom w:val="nil"/>
              <w:right w:val="nil"/>
            </w:tcBorders>
            <w:shd w:val="clear" w:color="auto" w:fill="auto"/>
            <w:noWrap/>
            <w:vAlign w:val="center"/>
            <w:hideMark/>
          </w:tcPr>
          <w:p w14:paraId="6A5D85A9"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0DDA58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9,600</w:t>
            </w:r>
          </w:p>
        </w:tc>
        <w:tc>
          <w:tcPr>
            <w:tcW w:w="657" w:type="pct"/>
            <w:tcBorders>
              <w:top w:val="nil"/>
              <w:left w:val="nil"/>
              <w:bottom w:val="nil"/>
              <w:right w:val="nil"/>
            </w:tcBorders>
            <w:shd w:val="clear" w:color="auto" w:fill="auto"/>
            <w:noWrap/>
            <w:vAlign w:val="center"/>
            <w:hideMark/>
          </w:tcPr>
          <w:p w14:paraId="7222D1B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3.7</w:t>
            </w:r>
          </w:p>
        </w:tc>
      </w:tr>
      <w:tr w:rsidR="001A4CA0" w:rsidRPr="00966BD4" w14:paraId="13C7E13F"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0C7BD19"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Gross other individuals</w:t>
            </w:r>
          </w:p>
        </w:tc>
        <w:tc>
          <w:tcPr>
            <w:tcW w:w="727" w:type="pct"/>
            <w:tcBorders>
              <w:top w:val="nil"/>
              <w:left w:val="nil"/>
              <w:bottom w:val="nil"/>
              <w:right w:val="nil"/>
            </w:tcBorders>
            <w:shd w:val="clear" w:color="auto" w:fill="auto"/>
            <w:noWrap/>
            <w:vAlign w:val="center"/>
            <w:hideMark/>
          </w:tcPr>
          <w:p w14:paraId="29AE36E9"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61,900</w:t>
            </w:r>
          </w:p>
        </w:tc>
        <w:tc>
          <w:tcPr>
            <w:tcW w:w="727" w:type="pct"/>
            <w:tcBorders>
              <w:top w:val="nil"/>
              <w:left w:val="nil"/>
              <w:bottom w:val="nil"/>
              <w:right w:val="nil"/>
            </w:tcBorders>
            <w:shd w:val="clear" w:color="000000" w:fill="E6F2FF"/>
            <w:noWrap/>
            <w:vAlign w:val="center"/>
            <w:hideMark/>
          </w:tcPr>
          <w:p w14:paraId="1B7D3F6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69,500</w:t>
            </w:r>
          </w:p>
        </w:tc>
        <w:tc>
          <w:tcPr>
            <w:tcW w:w="51" w:type="pct"/>
            <w:tcBorders>
              <w:top w:val="nil"/>
              <w:left w:val="nil"/>
              <w:bottom w:val="nil"/>
              <w:right w:val="nil"/>
            </w:tcBorders>
            <w:shd w:val="clear" w:color="auto" w:fill="auto"/>
            <w:noWrap/>
            <w:vAlign w:val="center"/>
            <w:hideMark/>
          </w:tcPr>
          <w:p w14:paraId="2EF6BD3F"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AC6D76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7,600</w:t>
            </w:r>
          </w:p>
        </w:tc>
        <w:tc>
          <w:tcPr>
            <w:tcW w:w="657" w:type="pct"/>
            <w:tcBorders>
              <w:top w:val="nil"/>
              <w:left w:val="nil"/>
              <w:bottom w:val="nil"/>
              <w:right w:val="nil"/>
            </w:tcBorders>
            <w:shd w:val="clear" w:color="auto" w:fill="auto"/>
            <w:noWrap/>
            <w:vAlign w:val="center"/>
            <w:hideMark/>
          </w:tcPr>
          <w:p w14:paraId="4942692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12.3</w:t>
            </w:r>
          </w:p>
        </w:tc>
      </w:tr>
      <w:tr w:rsidR="001A4CA0" w:rsidRPr="00966BD4" w14:paraId="148CB22A"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618E196" w14:textId="77777777" w:rsidR="001A4CA0" w:rsidRPr="00966BD4" w:rsidRDefault="001A4CA0" w:rsidP="001A4CA0">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w:t>
            </w:r>
          </w:p>
        </w:tc>
        <w:tc>
          <w:tcPr>
            <w:tcW w:w="727" w:type="pct"/>
            <w:tcBorders>
              <w:top w:val="nil"/>
              <w:left w:val="nil"/>
              <w:bottom w:val="single" w:sz="4" w:space="0" w:color="293F5B"/>
              <w:right w:val="nil"/>
            </w:tcBorders>
            <w:shd w:val="clear" w:color="auto" w:fill="auto"/>
            <w:noWrap/>
            <w:vAlign w:val="center"/>
            <w:hideMark/>
          </w:tcPr>
          <w:p w14:paraId="33931E1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41,800</w:t>
            </w:r>
          </w:p>
        </w:tc>
        <w:tc>
          <w:tcPr>
            <w:tcW w:w="727" w:type="pct"/>
            <w:tcBorders>
              <w:top w:val="nil"/>
              <w:left w:val="nil"/>
              <w:bottom w:val="single" w:sz="4" w:space="0" w:color="293F5B"/>
              <w:right w:val="nil"/>
            </w:tcBorders>
            <w:shd w:val="clear" w:color="000000" w:fill="E6F2FF"/>
            <w:noWrap/>
            <w:vAlign w:val="center"/>
            <w:hideMark/>
          </w:tcPr>
          <w:p w14:paraId="2DF565A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42,100</w:t>
            </w:r>
          </w:p>
        </w:tc>
        <w:tc>
          <w:tcPr>
            <w:tcW w:w="51" w:type="pct"/>
            <w:tcBorders>
              <w:top w:val="nil"/>
              <w:left w:val="nil"/>
              <w:bottom w:val="nil"/>
              <w:right w:val="nil"/>
            </w:tcBorders>
            <w:shd w:val="clear" w:color="auto" w:fill="auto"/>
            <w:noWrap/>
            <w:vAlign w:val="center"/>
            <w:hideMark/>
          </w:tcPr>
          <w:p w14:paraId="3A491AE5"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single" w:sz="4" w:space="0" w:color="293F5B"/>
              <w:right w:val="nil"/>
            </w:tcBorders>
            <w:shd w:val="clear" w:color="auto" w:fill="auto"/>
            <w:noWrap/>
            <w:vAlign w:val="center"/>
            <w:hideMark/>
          </w:tcPr>
          <w:p w14:paraId="2199A6A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single" w:sz="4" w:space="0" w:color="293F5B"/>
              <w:right w:val="nil"/>
            </w:tcBorders>
            <w:shd w:val="clear" w:color="auto" w:fill="auto"/>
            <w:noWrap/>
            <w:vAlign w:val="center"/>
            <w:hideMark/>
          </w:tcPr>
          <w:p w14:paraId="1E99FD0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0.7</w:t>
            </w:r>
          </w:p>
        </w:tc>
      </w:tr>
      <w:tr w:rsidR="001A4CA0" w:rsidRPr="00966BD4" w14:paraId="0D3BD5CF"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49BA6B5"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Total individuals and other withholding tax</w:t>
            </w:r>
          </w:p>
        </w:tc>
        <w:tc>
          <w:tcPr>
            <w:tcW w:w="727" w:type="pct"/>
            <w:tcBorders>
              <w:top w:val="nil"/>
              <w:left w:val="nil"/>
              <w:bottom w:val="nil"/>
              <w:right w:val="nil"/>
            </w:tcBorders>
            <w:shd w:val="clear" w:color="auto" w:fill="auto"/>
            <w:noWrap/>
            <w:vAlign w:val="center"/>
            <w:hideMark/>
          </w:tcPr>
          <w:p w14:paraId="1257697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280,100</w:t>
            </w:r>
          </w:p>
        </w:tc>
        <w:tc>
          <w:tcPr>
            <w:tcW w:w="727" w:type="pct"/>
            <w:tcBorders>
              <w:top w:val="nil"/>
              <w:left w:val="nil"/>
              <w:bottom w:val="nil"/>
              <w:right w:val="nil"/>
            </w:tcBorders>
            <w:shd w:val="clear" w:color="000000" w:fill="E6F2FF"/>
            <w:noWrap/>
            <w:vAlign w:val="center"/>
            <w:hideMark/>
          </w:tcPr>
          <w:p w14:paraId="3E75A98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297,000</w:t>
            </w:r>
          </w:p>
        </w:tc>
        <w:tc>
          <w:tcPr>
            <w:tcW w:w="51" w:type="pct"/>
            <w:tcBorders>
              <w:top w:val="nil"/>
              <w:left w:val="nil"/>
              <w:bottom w:val="nil"/>
              <w:right w:val="nil"/>
            </w:tcBorders>
            <w:shd w:val="clear" w:color="auto" w:fill="auto"/>
            <w:noWrap/>
            <w:vAlign w:val="center"/>
            <w:hideMark/>
          </w:tcPr>
          <w:p w14:paraId="42F4D1AB"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51C671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16,900</w:t>
            </w:r>
          </w:p>
        </w:tc>
        <w:tc>
          <w:tcPr>
            <w:tcW w:w="657" w:type="pct"/>
            <w:tcBorders>
              <w:top w:val="nil"/>
              <w:left w:val="nil"/>
              <w:bottom w:val="nil"/>
              <w:right w:val="nil"/>
            </w:tcBorders>
            <w:shd w:val="clear" w:color="auto" w:fill="auto"/>
            <w:noWrap/>
            <w:vAlign w:val="center"/>
            <w:hideMark/>
          </w:tcPr>
          <w:p w14:paraId="6DAC7CC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6.0</w:t>
            </w:r>
          </w:p>
        </w:tc>
      </w:tr>
      <w:tr w:rsidR="001A4CA0" w:rsidRPr="00966BD4" w14:paraId="7B495419"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B860EE3"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Fringe benefits tax</w:t>
            </w:r>
          </w:p>
        </w:tc>
        <w:tc>
          <w:tcPr>
            <w:tcW w:w="727" w:type="pct"/>
            <w:tcBorders>
              <w:top w:val="nil"/>
              <w:left w:val="nil"/>
              <w:bottom w:val="nil"/>
              <w:right w:val="nil"/>
            </w:tcBorders>
            <w:shd w:val="clear" w:color="auto" w:fill="auto"/>
            <w:noWrap/>
            <w:vAlign w:val="center"/>
            <w:hideMark/>
          </w:tcPr>
          <w:p w14:paraId="70F5E62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3,490</w:t>
            </w:r>
          </w:p>
        </w:tc>
        <w:tc>
          <w:tcPr>
            <w:tcW w:w="727" w:type="pct"/>
            <w:tcBorders>
              <w:top w:val="nil"/>
              <w:left w:val="nil"/>
              <w:bottom w:val="nil"/>
              <w:right w:val="nil"/>
            </w:tcBorders>
            <w:shd w:val="clear" w:color="000000" w:fill="E6F2FF"/>
            <w:noWrap/>
            <w:vAlign w:val="center"/>
            <w:hideMark/>
          </w:tcPr>
          <w:p w14:paraId="248ADE7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3,630</w:t>
            </w:r>
          </w:p>
        </w:tc>
        <w:tc>
          <w:tcPr>
            <w:tcW w:w="51" w:type="pct"/>
            <w:tcBorders>
              <w:top w:val="nil"/>
              <w:left w:val="nil"/>
              <w:bottom w:val="nil"/>
              <w:right w:val="nil"/>
            </w:tcBorders>
            <w:shd w:val="clear" w:color="auto" w:fill="auto"/>
            <w:noWrap/>
            <w:vAlign w:val="center"/>
            <w:hideMark/>
          </w:tcPr>
          <w:p w14:paraId="7E84C6DA"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6CD9AA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140</w:t>
            </w:r>
          </w:p>
        </w:tc>
        <w:tc>
          <w:tcPr>
            <w:tcW w:w="657" w:type="pct"/>
            <w:tcBorders>
              <w:top w:val="nil"/>
              <w:left w:val="nil"/>
              <w:bottom w:val="nil"/>
              <w:right w:val="nil"/>
            </w:tcBorders>
            <w:shd w:val="clear" w:color="auto" w:fill="auto"/>
            <w:noWrap/>
            <w:vAlign w:val="center"/>
            <w:hideMark/>
          </w:tcPr>
          <w:p w14:paraId="58B38D8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4.0</w:t>
            </w:r>
          </w:p>
        </w:tc>
      </w:tr>
      <w:tr w:rsidR="001A4CA0" w:rsidRPr="00966BD4" w14:paraId="5777A278"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72C3E0A"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Company tax</w:t>
            </w:r>
          </w:p>
        </w:tc>
        <w:tc>
          <w:tcPr>
            <w:tcW w:w="727" w:type="pct"/>
            <w:tcBorders>
              <w:top w:val="nil"/>
              <w:left w:val="nil"/>
              <w:bottom w:val="nil"/>
              <w:right w:val="nil"/>
            </w:tcBorders>
            <w:shd w:val="clear" w:color="auto" w:fill="auto"/>
            <w:noWrap/>
            <w:vAlign w:val="center"/>
            <w:hideMark/>
          </w:tcPr>
          <w:p w14:paraId="0754E25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127,300</w:t>
            </w:r>
          </w:p>
        </w:tc>
        <w:tc>
          <w:tcPr>
            <w:tcW w:w="727" w:type="pct"/>
            <w:tcBorders>
              <w:top w:val="nil"/>
              <w:left w:val="nil"/>
              <w:bottom w:val="nil"/>
              <w:right w:val="nil"/>
            </w:tcBorders>
            <w:shd w:val="clear" w:color="000000" w:fill="E6F2FF"/>
            <w:noWrap/>
            <w:vAlign w:val="center"/>
            <w:hideMark/>
          </w:tcPr>
          <w:p w14:paraId="5E7B31B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138,400</w:t>
            </w:r>
          </w:p>
        </w:tc>
        <w:tc>
          <w:tcPr>
            <w:tcW w:w="51" w:type="pct"/>
            <w:tcBorders>
              <w:top w:val="nil"/>
              <w:left w:val="nil"/>
              <w:bottom w:val="nil"/>
              <w:right w:val="nil"/>
            </w:tcBorders>
            <w:shd w:val="clear" w:color="auto" w:fill="auto"/>
            <w:noWrap/>
            <w:vAlign w:val="center"/>
            <w:hideMark/>
          </w:tcPr>
          <w:p w14:paraId="372F0FB9"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37B08A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11,100</w:t>
            </w:r>
          </w:p>
        </w:tc>
        <w:tc>
          <w:tcPr>
            <w:tcW w:w="657" w:type="pct"/>
            <w:tcBorders>
              <w:top w:val="nil"/>
              <w:left w:val="nil"/>
              <w:bottom w:val="nil"/>
              <w:right w:val="nil"/>
            </w:tcBorders>
            <w:shd w:val="clear" w:color="auto" w:fill="auto"/>
            <w:noWrap/>
            <w:vAlign w:val="center"/>
            <w:hideMark/>
          </w:tcPr>
          <w:p w14:paraId="4208678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8.7</w:t>
            </w:r>
          </w:p>
        </w:tc>
      </w:tr>
      <w:tr w:rsidR="001A4CA0" w:rsidRPr="00966BD4" w14:paraId="6B585D52"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3A0B0EF"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Superannuation fund taxes</w:t>
            </w:r>
          </w:p>
        </w:tc>
        <w:tc>
          <w:tcPr>
            <w:tcW w:w="727" w:type="pct"/>
            <w:tcBorders>
              <w:top w:val="nil"/>
              <w:left w:val="nil"/>
              <w:bottom w:val="nil"/>
              <w:right w:val="nil"/>
            </w:tcBorders>
            <w:shd w:val="clear" w:color="auto" w:fill="auto"/>
            <w:noWrap/>
            <w:vAlign w:val="center"/>
            <w:hideMark/>
          </w:tcPr>
          <w:p w14:paraId="66B0846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12,610</w:t>
            </w:r>
          </w:p>
        </w:tc>
        <w:tc>
          <w:tcPr>
            <w:tcW w:w="727" w:type="pct"/>
            <w:tcBorders>
              <w:top w:val="nil"/>
              <w:left w:val="nil"/>
              <w:bottom w:val="nil"/>
              <w:right w:val="nil"/>
            </w:tcBorders>
            <w:shd w:val="clear" w:color="000000" w:fill="E6F2FF"/>
            <w:noWrap/>
            <w:vAlign w:val="center"/>
            <w:hideMark/>
          </w:tcPr>
          <w:p w14:paraId="1CD483D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9,610</w:t>
            </w:r>
          </w:p>
        </w:tc>
        <w:tc>
          <w:tcPr>
            <w:tcW w:w="51" w:type="pct"/>
            <w:tcBorders>
              <w:top w:val="nil"/>
              <w:left w:val="nil"/>
              <w:bottom w:val="nil"/>
              <w:right w:val="nil"/>
            </w:tcBorders>
            <w:shd w:val="clear" w:color="auto" w:fill="auto"/>
            <w:noWrap/>
            <w:vAlign w:val="center"/>
            <w:hideMark/>
          </w:tcPr>
          <w:p w14:paraId="1FD2A4D3"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F0A04B2" w14:textId="79E31DFA"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3,000</w:t>
            </w:r>
          </w:p>
        </w:tc>
        <w:tc>
          <w:tcPr>
            <w:tcW w:w="657" w:type="pct"/>
            <w:tcBorders>
              <w:top w:val="nil"/>
              <w:left w:val="nil"/>
              <w:bottom w:val="nil"/>
              <w:right w:val="nil"/>
            </w:tcBorders>
            <w:shd w:val="clear" w:color="auto" w:fill="auto"/>
            <w:noWrap/>
            <w:vAlign w:val="center"/>
            <w:hideMark/>
          </w:tcPr>
          <w:p w14:paraId="6E631CE5" w14:textId="7E1528EC"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23.8</w:t>
            </w:r>
          </w:p>
        </w:tc>
      </w:tr>
      <w:tr w:rsidR="001A4CA0" w:rsidRPr="00966BD4" w14:paraId="1BAA89A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380114CA"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Petroleum resource rent tax</w:t>
            </w:r>
          </w:p>
        </w:tc>
        <w:tc>
          <w:tcPr>
            <w:tcW w:w="727" w:type="pct"/>
            <w:tcBorders>
              <w:top w:val="nil"/>
              <w:left w:val="nil"/>
              <w:bottom w:val="nil"/>
              <w:right w:val="nil"/>
            </w:tcBorders>
            <w:shd w:val="clear" w:color="auto" w:fill="auto"/>
            <w:noWrap/>
            <w:vAlign w:val="center"/>
            <w:hideMark/>
          </w:tcPr>
          <w:p w14:paraId="1C8768E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2,600</w:t>
            </w:r>
          </w:p>
        </w:tc>
        <w:tc>
          <w:tcPr>
            <w:tcW w:w="727" w:type="pct"/>
            <w:tcBorders>
              <w:top w:val="nil"/>
              <w:left w:val="nil"/>
              <w:bottom w:val="nil"/>
              <w:right w:val="nil"/>
            </w:tcBorders>
            <w:shd w:val="clear" w:color="000000" w:fill="E6F2FF"/>
            <w:noWrap/>
            <w:vAlign w:val="center"/>
            <w:hideMark/>
          </w:tcPr>
          <w:p w14:paraId="11D0C98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2,350</w:t>
            </w:r>
          </w:p>
        </w:tc>
        <w:tc>
          <w:tcPr>
            <w:tcW w:w="51" w:type="pct"/>
            <w:tcBorders>
              <w:top w:val="nil"/>
              <w:left w:val="nil"/>
              <w:bottom w:val="nil"/>
              <w:right w:val="nil"/>
            </w:tcBorders>
            <w:shd w:val="clear" w:color="auto" w:fill="auto"/>
            <w:noWrap/>
            <w:vAlign w:val="center"/>
            <w:hideMark/>
          </w:tcPr>
          <w:p w14:paraId="11D0F952"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8F98320" w14:textId="1D08AD48"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250</w:t>
            </w:r>
          </w:p>
        </w:tc>
        <w:tc>
          <w:tcPr>
            <w:tcW w:w="657" w:type="pct"/>
            <w:tcBorders>
              <w:top w:val="nil"/>
              <w:left w:val="nil"/>
              <w:bottom w:val="nil"/>
              <w:right w:val="nil"/>
            </w:tcBorders>
            <w:shd w:val="clear" w:color="auto" w:fill="auto"/>
            <w:noWrap/>
            <w:vAlign w:val="center"/>
            <w:hideMark/>
          </w:tcPr>
          <w:p w14:paraId="37282F47" w14:textId="37D25EDC"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9.6</w:t>
            </w:r>
          </w:p>
        </w:tc>
      </w:tr>
      <w:tr w:rsidR="001A4CA0" w:rsidRPr="00966BD4" w14:paraId="432A870D"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870148C"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Income taxation receipts</w:t>
            </w:r>
          </w:p>
        </w:tc>
        <w:tc>
          <w:tcPr>
            <w:tcW w:w="727" w:type="pct"/>
            <w:tcBorders>
              <w:top w:val="single" w:sz="4" w:space="0" w:color="293F5B"/>
              <w:left w:val="nil"/>
              <w:bottom w:val="single" w:sz="4" w:space="0" w:color="293F5B"/>
              <w:right w:val="nil"/>
            </w:tcBorders>
            <w:shd w:val="clear" w:color="auto" w:fill="auto"/>
            <w:noWrap/>
            <w:vAlign w:val="center"/>
            <w:hideMark/>
          </w:tcPr>
          <w:p w14:paraId="7ED13E3C"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426,100</w:t>
            </w:r>
          </w:p>
        </w:tc>
        <w:tc>
          <w:tcPr>
            <w:tcW w:w="727" w:type="pct"/>
            <w:tcBorders>
              <w:top w:val="single" w:sz="4" w:space="0" w:color="293F5B"/>
              <w:left w:val="nil"/>
              <w:bottom w:val="single" w:sz="4" w:space="0" w:color="293F5B"/>
              <w:right w:val="nil"/>
            </w:tcBorders>
            <w:shd w:val="clear" w:color="000000" w:fill="E6F2FF"/>
            <w:noWrap/>
            <w:vAlign w:val="center"/>
            <w:hideMark/>
          </w:tcPr>
          <w:p w14:paraId="3C4D7BE8"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450,990</w:t>
            </w:r>
          </w:p>
        </w:tc>
        <w:tc>
          <w:tcPr>
            <w:tcW w:w="51" w:type="pct"/>
            <w:tcBorders>
              <w:top w:val="nil"/>
              <w:left w:val="nil"/>
              <w:bottom w:val="nil"/>
              <w:right w:val="nil"/>
            </w:tcBorders>
            <w:shd w:val="clear" w:color="auto" w:fill="auto"/>
            <w:noWrap/>
            <w:vAlign w:val="center"/>
            <w:hideMark/>
          </w:tcPr>
          <w:p w14:paraId="039753B8" w14:textId="77777777" w:rsidR="001A4CA0" w:rsidRPr="00966BD4" w:rsidRDefault="001A4CA0" w:rsidP="001A4CA0">
            <w:pPr>
              <w:spacing w:before="0" w:after="0" w:line="240" w:lineRule="auto"/>
              <w:jc w:val="right"/>
              <w:rPr>
                <w:rFonts w:ascii="Arial" w:hAnsi="Arial" w:cs="Arial"/>
                <w:b/>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5F73648D"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24,890</w:t>
            </w:r>
          </w:p>
        </w:tc>
        <w:tc>
          <w:tcPr>
            <w:tcW w:w="657" w:type="pct"/>
            <w:tcBorders>
              <w:top w:val="single" w:sz="4" w:space="0" w:color="293F5B"/>
              <w:left w:val="nil"/>
              <w:bottom w:val="single" w:sz="4" w:space="0" w:color="293F5B"/>
              <w:right w:val="nil"/>
            </w:tcBorders>
            <w:shd w:val="clear" w:color="auto" w:fill="auto"/>
            <w:noWrap/>
            <w:vAlign w:val="center"/>
            <w:hideMark/>
          </w:tcPr>
          <w:p w14:paraId="68E56397"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5.8</w:t>
            </w:r>
          </w:p>
        </w:tc>
      </w:tr>
      <w:tr w:rsidR="001A4CA0" w:rsidRPr="00966BD4" w14:paraId="6441424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518BC67A"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Goods and services tax</w:t>
            </w:r>
          </w:p>
        </w:tc>
        <w:tc>
          <w:tcPr>
            <w:tcW w:w="727" w:type="pct"/>
            <w:tcBorders>
              <w:top w:val="nil"/>
              <w:left w:val="nil"/>
              <w:bottom w:val="nil"/>
              <w:right w:val="nil"/>
            </w:tcBorders>
            <w:shd w:val="clear" w:color="auto" w:fill="auto"/>
            <w:noWrap/>
            <w:vAlign w:val="center"/>
            <w:hideMark/>
          </w:tcPr>
          <w:p w14:paraId="7A4A1E7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82,532</w:t>
            </w:r>
          </w:p>
        </w:tc>
        <w:tc>
          <w:tcPr>
            <w:tcW w:w="727" w:type="pct"/>
            <w:tcBorders>
              <w:top w:val="nil"/>
              <w:left w:val="nil"/>
              <w:bottom w:val="nil"/>
              <w:right w:val="nil"/>
            </w:tcBorders>
            <w:shd w:val="clear" w:color="000000" w:fill="E6F2FF"/>
            <w:noWrap/>
            <w:vAlign w:val="center"/>
            <w:hideMark/>
          </w:tcPr>
          <w:p w14:paraId="087FCDD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81,761</w:t>
            </w:r>
          </w:p>
        </w:tc>
        <w:tc>
          <w:tcPr>
            <w:tcW w:w="51" w:type="pct"/>
            <w:tcBorders>
              <w:top w:val="nil"/>
              <w:left w:val="nil"/>
              <w:bottom w:val="nil"/>
              <w:right w:val="nil"/>
            </w:tcBorders>
            <w:shd w:val="clear" w:color="auto" w:fill="auto"/>
            <w:noWrap/>
            <w:vAlign w:val="center"/>
            <w:hideMark/>
          </w:tcPr>
          <w:p w14:paraId="2A098342"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9FD4B00" w14:textId="098FB1BF"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771</w:t>
            </w:r>
          </w:p>
        </w:tc>
        <w:tc>
          <w:tcPr>
            <w:tcW w:w="657" w:type="pct"/>
            <w:tcBorders>
              <w:top w:val="nil"/>
              <w:left w:val="nil"/>
              <w:bottom w:val="nil"/>
              <w:right w:val="nil"/>
            </w:tcBorders>
            <w:shd w:val="clear" w:color="auto" w:fill="auto"/>
            <w:noWrap/>
            <w:vAlign w:val="center"/>
            <w:hideMark/>
          </w:tcPr>
          <w:p w14:paraId="1533188B" w14:textId="40494510"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0.9</w:t>
            </w:r>
          </w:p>
        </w:tc>
      </w:tr>
      <w:tr w:rsidR="001A4CA0" w:rsidRPr="00966BD4" w14:paraId="2A6E3473" w14:textId="77777777" w:rsidTr="001A4CA0">
        <w:trPr>
          <w:trHeight w:hRule="exact" w:val="225"/>
        </w:trPr>
        <w:tc>
          <w:tcPr>
            <w:tcW w:w="2182" w:type="pct"/>
            <w:tcBorders>
              <w:top w:val="nil"/>
              <w:left w:val="nil"/>
              <w:bottom w:val="nil"/>
              <w:right w:val="nil"/>
            </w:tcBorders>
            <w:shd w:val="clear" w:color="auto" w:fill="auto"/>
            <w:noWrap/>
            <w:vAlign w:val="center"/>
            <w:hideMark/>
          </w:tcPr>
          <w:p w14:paraId="3699211F"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Wine equalisation tax</w:t>
            </w:r>
          </w:p>
        </w:tc>
        <w:tc>
          <w:tcPr>
            <w:tcW w:w="727" w:type="pct"/>
            <w:tcBorders>
              <w:top w:val="nil"/>
              <w:left w:val="nil"/>
              <w:bottom w:val="nil"/>
              <w:right w:val="nil"/>
            </w:tcBorders>
            <w:shd w:val="clear" w:color="auto" w:fill="auto"/>
            <w:noWrap/>
            <w:vAlign w:val="center"/>
            <w:hideMark/>
          </w:tcPr>
          <w:p w14:paraId="2B986EFD"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1,190</w:t>
            </w:r>
          </w:p>
        </w:tc>
        <w:tc>
          <w:tcPr>
            <w:tcW w:w="727" w:type="pct"/>
            <w:tcBorders>
              <w:top w:val="nil"/>
              <w:left w:val="nil"/>
              <w:bottom w:val="nil"/>
              <w:right w:val="nil"/>
            </w:tcBorders>
            <w:shd w:val="clear" w:color="000000" w:fill="E6F2FF"/>
            <w:noWrap/>
            <w:vAlign w:val="center"/>
            <w:hideMark/>
          </w:tcPr>
          <w:p w14:paraId="11E6B9C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1,150</w:t>
            </w:r>
          </w:p>
        </w:tc>
        <w:tc>
          <w:tcPr>
            <w:tcW w:w="51" w:type="pct"/>
            <w:tcBorders>
              <w:top w:val="nil"/>
              <w:left w:val="nil"/>
              <w:bottom w:val="nil"/>
              <w:right w:val="nil"/>
            </w:tcBorders>
            <w:shd w:val="clear" w:color="auto" w:fill="auto"/>
            <w:noWrap/>
            <w:vAlign w:val="center"/>
            <w:hideMark/>
          </w:tcPr>
          <w:p w14:paraId="5B70CC6C"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15F24A1" w14:textId="3FAA2688"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40</w:t>
            </w:r>
          </w:p>
        </w:tc>
        <w:tc>
          <w:tcPr>
            <w:tcW w:w="657" w:type="pct"/>
            <w:tcBorders>
              <w:top w:val="nil"/>
              <w:left w:val="nil"/>
              <w:bottom w:val="nil"/>
              <w:right w:val="nil"/>
            </w:tcBorders>
            <w:shd w:val="clear" w:color="auto" w:fill="auto"/>
            <w:noWrap/>
            <w:vAlign w:val="center"/>
            <w:hideMark/>
          </w:tcPr>
          <w:p w14:paraId="0A0CDC5B" w14:textId="5699A9B3"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3.4</w:t>
            </w:r>
          </w:p>
        </w:tc>
      </w:tr>
      <w:tr w:rsidR="001A4CA0" w:rsidRPr="00966BD4" w14:paraId="7180EC2C" w14:textId="77777777" w:rsidTr="001A4CA0">
        <w:trPr>
          <w:trHeight w:hRule="exact" w:val="225"/>
        </w:trPr>
        <w:tc>
          <w:tcPr>
            <w:tcW w:w="2182" w:type="pct"/>
            <w:tcBorders>
              <w:top w:val="nil"/>
              <w:left w:val="nil"/>
              <w:bottom w:val="nil"/>
              <w:right w:val="nil"/>
            </w:tcBorders>
            <w:shd w:val="clear" w:color="auto" w:fill="auto"/>
            <w:noWrap/>
            <w:vAlign w:val="center"/>
            <w:hideMark/>
          </w:tcPr>
          <w:p w14:paraId="60DEEBC1"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Luxury car tax</w:t>
            </w:r>
          </w:p>
        </w:tc>
        <w:tc>
          <w:tcPr>
            <w:tcW w:w="727" w:type="pct"/>
            <w:tcBorders>
              <w:top w:val="nil"/>
              <w:left w:val="nil"/>
              <w:bottom w:val="nil"/>
              <w:right w:val="nil"/>
            </w:tcBorders>
            <w:shd w:val="clear" w:color="auto" w:fill="auto"/>
            <w:noWrap/>
            <w:vAlign w:val="center"/>
            <w:hideMark/>
          </w:tcPr>
          <w:p w14:paraId="63072BF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1,110</w:t>
            </w:r>
          </w:p>
        </w:tc>
        <w:tc>
          <w:tcPr>
            <w:tcW w:w="727" w:type="pct"/>
            <w:tcBorders>
              <w:top w:val="nil"/>
              <w:left w:val="nil"/>
              <w:bottom w:val="nil"/>
              <w:right w:val="nil"/>
            </w:tcBorders>
            <w:shd w:val="clear" w:color="000000" w:fill="E6F2FF"/>
            <w:noWrap/>
            <w:vAlign w:val="center"/>
            <w:hideMark/>
          </w:tcPr>
          <w:p w14:paraId="252FAA2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1,140</w:t>
            </w:r>
          </w:p>
        </w:tc>
        <w:tc>
          <w:tcPr>
            <w:tcW w:w="51" w:type="pct"/>
            <w:tcBorders>
              <w:top w:val="nil"/>
              <w:left w:val="nil"/>
              <w:bottom w:val="nil"/>
              <w:right w:val="nil"/>
            </w:tcBorders>
            <w:shd w:val="clear" w:color="auto" w:fill="auto"/>
            <w:noWrap/>
            <w:vAlign w:val="center"/>
            <w:hideMark/>
          </w:tcPr>
          <w:p w14:paraId="309F962D"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551076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30</w:t>
            </w:r>
          </w:p>
        </w:tc>
        <w:tc>
          <w:tcPr>
            <w:tcW w:w="657" w:type="pct"/>
            <w:tcBorders>
              <w:top w:val="nil"/>
              <w:left w:val="nil"/>
              <w:bottom w:val="nil"/>
              <w:right w:val="nil"/>
            </w:tcBorders>
            <w:shd w:val="clear" w:color="auto" w:fill="auto"/>
            <w:noWrap/>
            <w:vAlign w:val="center"/>
            <w:hideMark/>
          </w:tcPr>
          <w:p w14:paraId="4096BA9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2.7</w:t>
            </w:r>
          </w:p>
        </w:tc>
      </w:tr>
      <w:tr w:rsidR="001A4CA0" w:rsidRPr="00966BD4" w14:paraId="1D7ED4C1"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9F15276"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Excise and customs duty</w:t>
            </w:r>
          </w:p>
        </w:tc>
        <w:tc>
          <w:tcPr>
            <w:tcW w:w="727" w:type="pct"/>
            <w:tcBorders>
              <w:top w:val="nil"/>
              <w:left w:val="nil"/>
              <w:bottom w:val="nil"/>
              <w:right w:val="nil"/>
            </w:tcBorders>
            <w:shd w:val="clear" w:color="auto" w:fill="auto"/>
            <w:noWrap/>
            <w:vAlign w:val="center"/>
            <w:hideMark/>
          </w:tcPr>
          <w:p w14:paraId="39F56A16" w14:textId="77777777" w:rsidR="001A4CA0" w:rsidRPr="00966BD4" w:rsidRDefault="001A4CA0" w:rsidP="001A4CA0">
            <w:pPr>
              <w:spacing w:before="0" w:after="0" w:line="240" w:lineRule="auto"/>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16F3932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19610BBF"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B0C6A4A" w14:textId="77777777" w:rsidR="001A4CA0" w:rsidRPr="00966BD4" w:rsidRDefault="001A4CA0" w:rsidP="001A4CA0">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665672CB" w14:textId="77777777" w:rsidR="001A4CA0" w:rsidRPr="00966BD4" w:rsidRDefault="001A4CA0" w:rsidP="001A4CA0">
            <w:pPr>
              <w:spacing w:before="0" w:after="0" w:line="240" w:lineRule="auto"/>
              <w:jc w:val="right"/>
              <w:rPr>
                <w:rFonts w:ascii="Times New Roman" w:hAnsi="Times New Roman"/>
                <w:sz w:val="20"/>
              </w:rPr>
            </w:pPr>
          </w:p>
        </w:tc>
      </w:tr>
      <w:tr w:rsidR="001A4CA0" w:rsidRPr="00966BD4" w14:paraId="1CE2E892"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5B49F05"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Petrol</w:t>
            </w:r>
          </w:p>
        </w:tc>
        <w:tc>
          <w:tcPr>
            <w:tcW w:w="727" w:type="pct"/>
            <w:tcBorders>
              <w:top w:val="nil"/>
              <w:left w:val="nil"/>
              <w:bottom w:val="nil"/>
              <w:right w:val="nil"/>
            </w:tcBorders>
            <w:shd w:val="clear" w:color="auto" w:fill="auto"/>
            <w:noWrap/>
            <w:vAlign w:val="center"/>
            <w:hideMark/>
          </w:tcPr>
          <w:p w14:paraId="1D45516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5,600</w:t>
            </w:r>
          </w:p>
        </w:tc>
        <w:tc>
          <w:tcPr>
            <w:tcW w:w="727" w:type="pct"/>
            <w:tcBorders>
              <w:top w:val="nil"/>
              <w:left w:val="nil"/>
              <w:bottom w:val="nil"/>
              <w:right w:val="nil"/>
            </w:tcBorders>
            <w:shd w:val="clear" w:color="000000" w:fill="E6F2FF"/>
            <w:noWrap/>
            <w:vAlign w:val="center"/>
            <w:hideMark/>
          </w:tcPr>
          <w:p w14:paraId="07513E1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5,600</w:t>
            </w:r>
          </w:p>
        </w:tc>
        <w:tc>
          <w:tcPr>
            <w:tcW w:w="51" w:type="pct"/>
            <w:tcBorders>
              <w:top w:val="nil"/>
              <w:left w:val="nil"/>
              <w:bottom w:val="nil"/>
              <w:right w:val="nil"/>
            </w:tcBorders>
            <w:shd w:val="clear" w:color="auto" w:fill="auto"/>
            <w:noWrap/>
            <w:vAlign w:val="center"/>
            <w:hideMark/>
          </w:tcPr>
          <w:p w14:paraId="52C8492E"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8AC4C7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34FE5A8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0.0</w:t>
            </w:r>
          </w:p>
        </w:tc>
      </w:tr>
      <w:tr w:rsidR="001A4CA0" w:rsidRPr="00966BD4" w14:paraId="33521519"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800FD7C"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Diesel</w:t>
            </w:r>
          </w:p>
        </w:tc>
        <w:tc>
          <w:tcPr>
            <w:tcW w:w="727" w:type="pct"/>
            <w:tcBorders>
              <w:top w:val="nil"/>
              <w:left w:val="nil"/>
              <w:bottom w:val="nil"/>
              <w:right w:val="nil"/>
            </w:tcBorders>
            <w:shd w:val="clear" w:color="auto" w:fill="auto"/>
            <w:noWrap/>
            <w:vAlign w:val="center"/>
            <w:hideMark/>
          </w:tcPr>
          <w:p w14:paraId="69094CB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13,170</w:t>
            </w:r>
          </w:p>
        </w:tc>
        <w:tc>
          <w:tcPr>
            <w:tcW w:w="727" w:type="pct"/>
            <w:tcBorders>
              <w:top w:val="nil"/>
              <w:left w:val="nil"/>
              <w:bottom w:val="nil"/>
              <w:right w:val="nil"/>
            </w:tcBorders>
            <w:shd w:val="clear" w:color="000000" w:fill="E6F2FF"/>
            <w:noWrap/>
            <w:vAlign w:val="center"/>
            <w:hideMark/>
          </w:tcPr>
          <w:p w14:paraId="24D12469"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13,110</w:t>
            </w:r>
          </w:p>
        </w:tc>
        <w:tc>
          <w:tcPr>
            <w:tcW w:w="51" w:type="pct"/>
            <w:tcBorders>
              <w:top w:val="nil"/>
              <w:left w:val="nil"/>
              <w:bottom w:val="nil"/>
              <w:right w:val="nil"/>
            </w:tcBorders>
            <w:shd w:val="clear" w:color="auto" w:fill="auto"/>
            <w:noWrap/>
            <w:vAlign w:val="center"/>
            <w:hideMark/>
          </w:tcPr>
          <w:p w14:paraId="066E8366"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8B39CD2" w14:textId="658FAC0A"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7D940A0A" w14:textId="3815696F"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0.5</w:t>
            </w:r>
          </w:p>
        </w:tc>
      </w:tr>
      <w:tr w:rsidR="001A4CA0" w:rsidRPr="00966BD4" w14:paraId="3F163977" w14:textId="77777777" w:rsidTr="001A4CA0">
        <w:trPr>
          <w:trHeight w:hRule="exact" w:val="225"/>
        </w:trPr>
        <w:tc>
          <w:tcPr>
            <w:tcW w:w="2182" w:type="pct"/>
            <w:tcBorders>
              <w:top w:val="nil"/>
              <w:left w:val="nil"/>
              <w:bottom w:val="nil"/>
              <w:right w:val="nil"/>
            </w:tcBorders>
            <w:shd w:val="clear" w:color="auto" w:fill="auto"/>
            <w:noWrap/>
            <w:vAlign w:val="center"/>
            <w:hideMark/>
          </w:tcPr>
          <w:p w14:paraId="6F003679"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Other fuel products</w:t>
            </w:r>
          </w:p>
        </w:tc>
        <w:tc>
          <w:tcPr>
            <w:tcW w:w="727" w:type="pct"/>
            <w:tcBorders>
              <w:top w:val="nil"/>
              <w:left w:val="nil"/>
              <w:bottom w:val="nil"/>
              <w:right w:val="nil"/>
            </w:tcBorders>
            <w:shd w:val="clear" w:color="auto" w:fill="auto"/>
            <w:noWrap/>
            <w:vAlign w:val="center"/>
            <w:hideMark/>
          </w:tcPr>
          <w:p w14:paraId="7636AA5A"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2,700</w:t>
            </w:r>
          </w:p>
        </w:tc>
        <w:tc>
          <w:tcPr>
            <w:tcW w:w="727" w:type="pct"/>
            <w:tcBorders>
              <w:top w:val="nil"/>
              <w:left w:val="nil"/>
              <w:bottom w:val="nil"/>
              <w:right w:val="nil"/>
            </w:tcBorders>
            <w:shd w:val="clear" w:color="000000" w:fill="E6F2FF"/>
            <w:noWrap/>
            <w:vAlign w:val="center"/>
            <w:hideMark/>
          </w:tcPr>
          <w:p w14:paraId="2A323C3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2,760</w:t>
            </w:r>
          </w:p>
        </w:tc>
        <w:tc>
          <w:tcPr>
            <w:tcW w:w="51" w:type="pct"/>
            <w:tcBorders>
              <w:top w:val="nil"/>
              <w:left w:val="nil"/>
              <w:bottom w:val="nil"/>
              <w:right w:val="nil"/>
            </w:tcBorders>
            <w:shd w:val="clear" w:color="auto" w:fill="auto"/>
            <w:noWrap/>
            <w:vAlign w:val="center"/>
            <w:hideMark/>
          </w:tcPr>
          <w:p w14:paraId="643C53F5"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96DB94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016948B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2.2</w:t>
            </w:r>
          </w:p>
        </w:tc>
      </w:tr>
      <w:tr w:rsidR="001A4CA0" w:rsidRPr="00966BD4" w14:paraId="3AEB7FFE" w14:textId="77777777" w:rsidTr="001A4CA0">
        <w:trPr>
          <w:trHeight w:hRule="exact" w:val="225"/>
        </w:trPr>
        <w:tc>
          <w:tcPr>
            <w:tcW w:w="2182" w:type="pct"/>
            <w:tcBorders>
              <w:top w:val="nil"/>
              <w:left w:val="nil"/>
              <w:bottom w:val="nil"/>
              <w:right w:val="nil"/>
            </w:tcBorders>
            <w:shd w:val="clear" w:color="auto" w:fill="auto"/>
            <w:noWrap/>
            <w:vAlign w:val="center"/>
            <w:hideMark/>
          </w:tcPr>
          <w:p w14:paraId="52A7668B"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Tobacco</w:t>
            </w:r>
          </w:p>
        </w:tc>
        <w:tc>
          <w:tcPr>
            <w:tcW w:w="727" w:type="pct"/>
            <w:tcBorders>
              <w:top w:val="nil"/>
              <w:left w:val="nil"/>
              <w:bottom w:val="nil"/>
              <w:right w:val="nil"/>
            </w:tcBorders>
            <w:shd w:val="clear" w:color="auto" w:fill="auto"/>
            <w:noWrap/>
            <w:vAlign w:val="center"/>
            <w:hideMark/>
          </w:tcPr>
          <w:p w14:paraId="7B15BF6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12,400</w:t>
            </w:r>
          </w:p>
        </w:tc>
        <w:tc>
          <w:tcPr>
            <w:tcW w:w="727" w:type="pct"/>
            <w:tcBorders>
              <w:top w:val="nil"/>
              <w:left w:val="nil"/>
              <w:bottom w:val="nil"/>
              <w:right w:val="nil"/>
            </w:tcBorders>
            <w:shd w:val="clear" w:color="000000" w:fill="E6F2FF"/>
            <w:noWrap/>
            <w:vAlign w:val="center"/>
            <w:hideMark/>
          </w:tcPr>
          <w:p w14:paraId="0C5CDB9D"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12,700</w:t>
            </w:r>
          </w:p>
        </w:tc>
        <w:tc>
          <w:tcPr>
            <w:tcW w:w="51" w:type="pct"/>
            <w:tcBorders>
              <w:top w:val="nil"/>
              <w:left w:val="nil"/>
              <w:bottom w:val="nil"/>
              <w:right w:val="nil"/>
            </w:tcBorders>
            <w:shd w:val="clear" w:color="auto" w:fill="auto"/>
            <w:noWrap/>
            <w:vAlign w:val="center"/>
            <w:hideMark/>
          </w:tcPr>
          <w:p w14:paraId="6161DFFD"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2DAD17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nil"/>
              <w:right w:val="nil"/>
            </w:tcBorders>
            <w:shd w:val="clear" w:color="auto" w:fill="auto"/>
            <w:noWrap/>
            <w:vAlign w:val="center"/>
            <w:hideMark/>
          </w:tcPr>
          <w:p w14:paraId="1FA292E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2.4</w:t>
            </w:r>
          </w:p>
        </w:tc>
      </w:tr>
      <w:tr w:rsidR="001A4CA0" w:rsidRPr="00966BD4" w14:paraId="7B7DDF32"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79A0158"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Beer</w:t>
            </w:r>
          </w:p>
        </w:tc>
        <w:tc>
          <w:tcPr>
            <w:tcW w:w="727" w:type="pct"/>
            <w:tcBorders>
              <w:top w:val="nil"/>
              <w:left w:val="nil"/>
              <w:bottom w:val="nil"/>
              <w:right w:val="nil"/>
            </w:tcBorders>
            <w:shd w:val="clear" w:color="auto" w:fill="auto"/>
            <w:noWrap/>
            <w:vAlign w:val="center"/>
            <w:hideMark/>
          </w:tcPr>
          <w:p w14:paraId="6A32978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2,620</w:t>
            </w:r>
          </w:p>
        </w:tc>
        <w:tc>
          <w:tcPr>
            <w:tcW w:w="727" w:type="pct"/>
            <w:tcBorders>
              <w:top w:val="nil"/>
              <w:left w:val="nil"/>
              <w:bottom w:val="nil"/>
              <w:right w:val="nil"/>
            </w:tcBorders>
            <w:shd w:val="clear" w:color="000000" w:fill="E6F2FF"/>
            <w:noWrap/>
            <w:vAlign w:val="center"/>
            <w:hideMark/>
          </w:tcPr>
          <w:p w14:paraId="31EB50E3"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2,590</w:t>
            </w:r>
          </w:p>
        </w:tc>
        <w:tc>
          <w:tcPr>
            <w:tcW w:w="51" w:type="pct"/>
            <w:tcBorders>
              <w:top w:val="nil"/>
              <w:left w:val="nil"/>
              <w:bottom w:val="nil"/>
              <w:right w:val="nil"/>
            </w:tcBorders>
            <w:shd w:val="clear" w:color="auto" w:fill="auto"/>
            <w:noWrap/>
            <w:vAlign w:val="center"/>
            <w:hideMark/>
          </w:tcPr>
          <w:p w14:paraId="2B8AD534"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8220356" w14:textId="042692B1"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30</w:t>
            </w:r>
          </w:p>
        </w:tc>
        <w:tc>
          <w:tcPr>
            <w:tcW w:w="657" w:type="pct"/>
            <w:tcBorders>
              <w:top w:val="nil"/>
              <w:left w:val="nil"/>
              <w:bottom w:val="nil"/>
              <w:right w:val="nil"/>
            </w:tcBorders>
            <w:shd w:val="clear" w:color="auto" w:fill="auto"/>
            <w:noWrap/>
            <w:vAlign w:val="center"/>
            <w:hideMark/>
          </w:tcPr>
          <w:p w14:paraId="1BE6ACBF" w14:textId="74CABCC6"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1.1</w:t>
            </w:r>
          </w:p>
        </w:tc>
      </w:tr>
      <w:tr w:rsidR="001A4CA0" w:rsidRPr="00966BD4" w14:paraId="0CF199DA"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6E869C4"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Spirits</w:t>
            </w:r>
          </w:p>
        </w:tc>
        <w:tc>
          <w:tcPr>
            <w:tcW w:w="727" w:type="pct"/>
            <w:tcBorders>
              <w:top w:val="nil"/>
              <w:left w:val="nil"/>
              <w:bottom w:val="nil"/>
              <w:right w:val="nil"/>
            </w:tcBorders>
            <w:shd w:val="clear" w:color="auto" w:fill="auto"/>
            <w:noWrap/>
            <w:vAlign w:val="center"/>
            <w:hideMark/>
          </w:tcPr>
          <w:p w14:paraId="3D2E4D8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3,480</w:t>
            </w:r>
          </w:p>
        </w:tc>
        <w:tc>
          <w:tcPr>
            <w:tcW w:w="727" w:type="pct"/>
            <w:tcBorders>
              <w:top w:val="nil"/>
              <w:left w:val="nil"/>
              <w:bottom w:val="nil"/>
              <w:right w:val="nil"/>
            </w:tcBorders>
            <w:shd w:val="clear" w:color="000000" w:fill="E6F2FF"/>
            <w:noWrap/>
            <w:vAlign w:val="center"/>
            <w:hideMark/>
          </w:tcPr>
          <w:p w14:paraId="34623A1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3,390</w:t>
            </w:r>
          </w:p>
        </w:tc>
        <w:tc>
          <w:tcPr>
            <w:tcW w:w="51" w:type="pct"/>
            <w:tcBorders>
              <w:top w:val="nil"/>
              <w:left w:val="nil"/>
              <w:bottom w:val="nil"/>
              <w:right w:val="nil"/>
            </w:tcBorders>
            <w:shd w:val="clear" w:color="auto" w:fill="auto"/>
            <w:noWrap/>
            <w:vAlign w:val="center"/>
            <w:hideMark/>
          </w:tcPr>
          <w:p w14:paraId="375C8291"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309BD34" w14:textId="7028A3B8"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90</w:t>
            </w:r>
          </w:p>
        </w:tc>
        <w:tc>
          <w:tcPr>
            <w:tcW w:w="657" w:type="pct"/>
            <w:tcBorders>
              <w:top w:val="nil"/>
              <w:left w:val="nil"/>
              <w:bottom w:val="nil"/>
              <w:right w:val="nil"/>
            </w:tcBorders>
            <w:shd w:val="clear" w:color="auto" w:fill="auto"/>
            <w:noWrap/>
            <w:vAlign w:val="center"/>
            <w:hideMark/>
          </w:tcPr>
          <w:p w14:paraId="57AC6D80" w14:textId="2C6F9996"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2.6</w:t>
            </w:r>
          </w:p>
        </w:tc>
      </w:tr>
      <w:tr w:rsidR="001A4CA0" w:rsidRPr="00966BD4" w14:paraId="42ECB63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BA7E536"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Other alcoholic beverages(a)</w:t>
            </w:r>
          </w:p>
        </w:tc>
        <w:tc>
          <w:tcPr>
            <w:tcW w:w="727" w:type="pct"/>
            <w:tcBorders>
              <w:top w:val="nil"/>
              <w:left w:val="nil"/>
              <w:bottom w:val="nil"/>
              <w:right w:val="nil"/>
            </w:tcBorders>
            <w:shd w:val="clear" w:color="auto" w:fill="auto"/>
            <w:noWrap/>
            <w:vAlign w:val="center"/>
            <w:hideMark/>
          </w:tcPr>
          <w:p w14:paraId="6311181D"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1,500</w:t>
            </w:r>
          </w:p>
        </w:tc>
        <w:tc>
          <w:tcPr>
            <w:tcW w:w="727" w:type="pct"/>
            <w:tcBorders>
              <w:top w:val="nil"/>
              <w:left w:val="nil"/>
              <w:bottom w:val="nil"/>
              <w:right w:val="nil"/>
            </w:tcBorders>
            <w:shd w:val="clear" w:color="000000" w:fill="E6F2FF"/>
            <w:noWrap/>
            <w:vAlign w:val="center"/>
            <w:hideMark/>
          </w:tcPr>
          <w:p w14:paraId="21D7060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1,640</w:t>
            </w:r>
          </w:p>
        </w:tc>
        <w:tc>
          <w:tcPr>
            <w:tcW w:w="51" w:type="pct"/>
            <w:tcBorders>
              <w:top w:val="nil"/>
              <w:left w:val="nil"/>
              <w:bottom w:val="nil"/>
              <w:right w:val="nil"/>
            </w:tcBorders>
            <w:shd w:val="clear" w:color="auto" w:fill="auto"/>
            <w:noWrap/>
            <w:vAlign w:val="center"/>
            <w:hideMark/>
          </w:tcPr>
          <w:p w14:paraId="510EE6D3"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3BA13E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140</w:t>
            </w:r>
          </w:p>
        </w:tc>
        <w:tc>
          <w:tcPr>
            <w:tcW w:w="657" w:type="pct"/>
            <w:tcBorders>
              <w:top w:val="nil"/>
              <w:left w:val="nil"/>
              <w:bottom w:val="nil"/>
              <w:right w:val="nil"/>
            </w:tcBorders>
            <w:shd w:val="clear" w:color="auto" w:fill="auto"/>
            <w:noWrap/>
            <w:vAlign w:val="center"/>
            <w:hideMark/>
          </w:tcPr>
          <w:p w14:paraId="549A6A4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9.3</w:t>
            </w:r>
          </w:p>
        </w:tc>
      </w:tr>
      <w:tr w:rsidR="001A4CA0" w:rsidRPr="00966BD4" w14:paraId="7A68494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0E17E05C"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Other customs duty</w:t>
            </w:r>
          </w:p>
        </w:tc>
        <w:tc>
          <w:tcPr>
            <w:tcW w:w="727" w:type="pct"/>
            <w:tcBorders>
              <w:top w:val="nil"/>
              <w:left w:val="nil"/>
              <w:bottom w:val="nil"/>
              <w:right w:val="nil"/>
            </w:tcBorders>
            <w:shd w:val="clear" w:color="auto" w:fill="auto"/>
            <w:noWrap/>
            <w:vAlign w:val="center"/>
            <w:hideMark/>
          </w:tcPr>
          <w:p w14:paraId="4506E49E" w14:textId="77777777" w:rsidR="001A4CA0" w:rsidRPr="00966BD4" w:rsidRDefault="001A4CA0" w:rsidP="001A4CA0">
            <w:pPr>
              <w:spacing w:before="0" w:after="0" w:line="240" w:lineRule="auto"/>
              <w:ind w:firstLineChars="100" w:firstLine="160"/>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347D47E8"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453C6633" w14:textId="77777777" w:rsidR="001A4CA0" w:rsidRPr="00966BD4" w:rsidRDefault="001A4CA0" w:rsidP="001A4CA0">
            <w:pPr>
              <w:spacing w:before="0" w:after="0" w:line="240" w:lineRule="auto"/>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92980FA" w14:textId="77777777" w:rsidR="001A4CA0" w:rsidRPr="00966BD4" w:rsidRDefault="001A4CA0" w:rsidP="001A4CA0">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0845D77B" w14:textId="77777777" w:rsidR="001A4CA0" w:rsidRPr="00966BD4" w:rsidRDefault="001A4CA0" w:rsidP="001A4CA0">
            <w:pPr>
              <w:spacing w:before="0" w:after="0" w:line="240" w:lineRule="auto"/>
              <w:jc w:val="right"/>
              <w:rPr>
                <w:rFonts w:ascii="Times New Roman" w:hAnsi="Times New Roman"/>
                <w:sz w:val="20"/>
              </w:rPr>
            </w:pPr>
          </w:p>
        </w:tc>
      </w:tr>
      <w:tr w:rsidR="001A4CA0" w:rsidRPr="00966BD4" w14:paraId="34C84650" w14:textId="77777777" w:rsidTr="001A4CA0">
        <w:trPr>
          <w:trHeight w:hRule="exact" w:val="225"/>
        </w:trPr>
        <w:tc>
          <w:tcPr>
            <w:tcW w:w="2182" w:type="pct"/>
            <w:tcBorders>
              <w:top w:val="nil"/>
              <w:left w:val="nil"/>
              <w:bottom w:val="nil"/>
              <w:right w:val="nil"/>
            </w:tcBorders>
            <w:shd w:val="clear" w:color="auto" w:fill="auto"/>
            <w:noWrap/>
            <w:vAlign w:val="bottom"/>
            <w:hideMark/>
          </w:tcPr>
          <w:p w14:paraId="0DD0CA9E"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 xml:space="preserve">    Textiles, clothing and footwear</w:t>
            </w:r>
          </w:p>
        </w:tc>
        <w:tc>
          <w:tcPr>
            <w:tcW w:w="727" w:type="pct"/>
            <w:tcBorders>
              <w:top w:val="nil"/>
              <w:left w:val="nil"/>
              <w:bottom w:val="nil"/>
              <w:right w:val="nil"/>
            </w:tcBorders>
            <w:shd w:val="clear" w:color="auto" w:fill="auto"/>
            <w:noWrap/>
            <w:vAlign w:val="center"/>
            <w:hideMark/>
          </w:tcPr>
          <w:p w14:paraId="1DF9D95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180</w:t>
            </w:r>
          </w:p>
        </w:tc>
        <w:tc>
          <w:tcPr>
            <w:tcW w:w="727" w:type="pct"/>
            <w:tcBorders>
              <w:top w:val="nil"/>
              <w:left w:val="nil"/>
              <w:bottom w:val="nil"/>
              <w:right w:val="nil"/>
            </w:tcBorders>
            <w:shd w:val="clear" w:color="000000" w:fill="E6F2FF"/>
            <w:noWrap/>
            <w:vAlign w:val="center"/>
            <w:hideMark/>
          </w:tcPr>
          <w:p w14:paraId="1514364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190</w:t>
            </w:r>
          </w:p>
        </w:tc>
        <w:tc>
          <w:tcPr>
            <w:tcW w:w="51" w:type="pct"/>
            <w:tcBorders>
              <w:top w:val="nil"/>
              <w:left w:val="nil"/>
              <w:bottom w:val="nil"/>
              <w:right w:val="nil"/>
            </w:tcBorders>
            <w:shd w:val="clear" w:color="auto" w:fill="auto"/>
            <w:noWrap/>
            <w:vAlign w:val="center"/>
            <w:hideMark/>
          </w:tcPr>
          <w:p w14:paraId="437205F3"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85B06C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10</w:t>
            </w:r>
          </w:p>
        </w:tc>
        <w:tc>
          <w:tcPr>
            <w:tcW w:w="657" w:type="pct"/>
            <w:tcBorders>
              <w:top w:val="nil"/>
              <w:left w:val="nil"/>
              <w:bottom w:val="nil"/>
              <w:right w:val="nil"/>
            </w:tcBorders>
            <w:shd w:val="clear" w:color="auto" w:fill="auto"/>
            <w:noWrap/>
            <w:vAlign w:val="center"/>
            <w:hideMark/>
          </w:tcPr>
          <w:p w14:paraId="2720EA4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5.6</w:t>
            </w:r>
          </w:p>
        </w:tc>
      </w:tr>
      <w:tr w:rsidR="001A4CA0" w:rsidRPr="00966BD4" w14:paraId="65B87DA9" w14:textId="77777777" w:rsidTr="001A4CA0">
        <w:trPr>
          <w:trHeight w:hRule="exact" w:val="225"/>
        </w:trPr>
        <w:tc>
          <w:tcPr>
            <w:tcW w:w="2182" w:type="pct"/>
            <w:tcBorders>
              <w:top w:val="nil"/>
              <w:left w:val="nil"/>
              <w:bottom w:val="nil"/>
              <w:right w:val="nil"/>
            </w:tcBorders>
            <w:shd w:val="clear" w:color="auto" w:fill="auto"/>
            <w:noWrap/>
            <w:vAlign w:val="bottom"/>
            <w:hideMark/>
          </w:tcPr>
          <w:p w14:paraId="023E3E76"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 xml:space="preserve">    Passenger motor vehicles</w:t>
            </w:r>
          </w:p>
        </w:tc>
        <w:tc>
          <w:tcPr>
            <w:tcW w:w="727" w:type="pct"/>
            <w:tcBorders>
              <w:top w:val="nil"/>
              <w:left w:val="nil"/>
              <w:bottom w:val="nil"/>
              <w:right w:val="nil"/>
            </w:tcBorders>
            <w:shd w:val="clear" w:color="auto" w:fill="auto"/>
            <w:noWrap/>
            <w:vAlign w:val="center"/>
            <w:hideMark/>
          </w:tcPr>
          <w:p w14:paraId="28EEEEB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420</w:t>
            </w:r>
          </w:p>
        </w:tc>
        <w:tc>
          <w:tcPr>
            <w:tcW w:w="727" w:type="pct"/>
            <w:tcBorders>
              <w:top w:val="nil"/>
              <w:left w:val="nil"/>
              <w:bottom w:val="nil"/>
              <w:right w:val="nil"/>
            </w:tcBorders>
            <w:shd w:val="clear" w:color="000000" w:fill="E6F2FF"/>
            <w:noWrap/>
            <w:vAlign w:val="center"/>
            <w:hideMark/>
          </w:tcPr>
          <w:p w14:paraId="71489EA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440</w:t>
            </w:r>
          </w:p>
        </w:tc>
        <w:tc>
          <w:tcPr>
            <w:tcW w:w="51" w:type="pct"/>
            <w:tcBorders>
              <w:top w:val="nil"/>
              <w:left w:val="nil"/>
              <w:bottom w:val="nil"/>
              <w:right w:val="nil"/>
            </w:tcBorders>
            <w:shd w:val="clear" w:color="auto" w:fill="auto"/>
            <w:noWrap/>
            <w:vAlign w:val="center"/>
            <w:hideMark/>
          </w:tcPr>
          <w:p w14:paraId="09FB31AE"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4AD9EEE"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20</w:t>
            </w:r>
          </w:p>
        </w:tc>
        <w:tc>
          <w:tcPr>
            <w:tcW w:w="657" w:type="pct"/>
            <w:tcBorders>
              <w:top w:val="nil"/>
              <w:left w:val="nil"/>
              <w:bottom w:val="nil"/>
              <w:right w:val="nil"/>
            </w:tcBorders>
            <w:shd w:val="clear" w:color="auto" w:fill="auto"/>
            <w:noWrap/>
            <w:vAlign w:val="center"/>
            <w:hideMark/>
          </w:tcPr>
          <w:p w14:paraId="13B6C53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4.8</w:t>
            </w:r>
          </w:p>
        </w:tc>
      </w:tr>
      <w:tr w:rsidR="001A4CA0" w:rsidRPr="00966BD4" w14:paraId="5FD6E87F"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1B99C73" w14:textId="77777777" w:rsidR="001A4CA0" w:rsidRPr="00966BD4" w:rsidRDefault="001A4CA0" w:rsidP="001A4CA0">
            <w:pPr>
              <w:spacing w:before="0" w:after="0" w:line="240" w:lineRule="auto"/>
              <w:ind w:left="170"/>
              <w:rPr>
                <w:rFonts w:ascii="Arial" w:hAnsi="Arial" w:cs="Arial"/>
                <w:sz w:val="16"/>
                <w:szCs w:val="16"/>
              </w:rPr>
            </w:pPr>
            <w:r w:rsidRPr="00966BD4">
              <w:rPr>
                <w:rFonts w:ascii="Arial" w:hAnsi="Arial" w:cs="Arial"/>
                <w:sz w:val="16"/>
                <w:szCs w:val="16"/>
              </w:rPr>
              <w:t xml:space="preserve">    Other imports</w:t>
            </w:r>
          </w:p>
        </w:tc>
        <w:tc>
          <w:tcPr>
            <w:tcW w:w="727" w:type="pct"/>
            <w:tcBorders>
              <w:top w:val="nil"/>
              <w:left w:val="nil"/>
              <w:bottom w:val="nil"/>
              <w:right w:val="nil"/>
            </w:tcBorders>
            <w:shd w:val="clear" w:color="auto" w:fill="auto"/>
            <w:noWrap/>
            <w:vAlign w:val="center"/>
            <w:hideMark/>
          </w:tcPr>
          <w:p w14:paraId="78B3E2B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1,440</w:t>
            </w:r>
          </w:p>
        </w:tc>
        <w:tc>
          <w:tcPr>
            <w:tcW w:w="727" w:type="pct"/>
            <w:tcBorders>
              <w:top w:val="nil"/>
              <w:left w:val="nil"/>
              <w:bottom w:val="nil"/>
              <w:right w:val="nil"/>
            </w:tcBorders>
            <w:shd w:val="clear" w:color="000000" w:fill="E6F2FF"/>
            <w:noWrap/>
            <w:vAlign w:val="center"/>
            <w:hideMark/>
          </w:tcPr>
          <w:p w14:paraId="280E22F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1,530</w:t>
            </w:r>
          </w:p>
        </w:tc>
        <w:tc>
          <w:tcPr>
            <w:tcW w:w="51" w:type="pct"/>
            <w:tcBorders>
              <w:top w:val="nil"/>
              <w:left w:val="nil"/>
              <w:bottom w:val="nil"/>
              <w:right w:val="nil"/>
            </w:tcBorders>
            <w:shd w:val="clear" w:color="auto" w:fill="auto"/>
            <w:noWrap/>
            <w:vAlign w:val="center"/>
            <w:hideMark/>
          </w:tcPr>
          <w:p w14:paraId="4160EB8C"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E39371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90</w:t>
            </w:r>
          </w:p>
        </w:tc>
        <w:tc>
          <w:tcPr>
            <w:tcW w:w="657" w:type="pct"/>
            <w:tcBorders>
              <w:top w:val="nil"/>
              <w:left w:val="nil"/>
              <w:bottom w:val="nil"/>
              <w:right w:val="nil"/>
            </w:tcBorders>
            <w:shd w:val="clear" w:color="auto" w:fill="auto"/>
            <w:noWrap/>
            <w:vAlign w:val="center"/>
            <w:hideMark/>
          </w:tcPr>
          <w:p w14:paraId="340285E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6.3</w:t>
            </w:r>
          </w:p>
        </w:tc>
      </w:tr>
      <w:tr w:rsidR="001A4CA0" w:rsidRPr="00966BD4" w14:paraId="2E52CC79" w14:textId="77777777" w:rsidTr="001A4CA0">
        <w:trPr>
          <w:trHeight w:hRule="exact" w:val="225"/>
        </w:trPr>
        <w:tc>
          <w:tcPr>
            <w:tcW w:w="2182" w:type="pct"/>
            <w:tcBorders>
              <w:top w:val="nil"/>
              <w:left w:val="nil"/>
              <w:bottom w:val="nil"/>
              <w:right w:val="nil"/>
            </w:tcBorders>
            <w:shd w:val="clear" w:color="auto" w:fill="auto"/>
            <w:noWrap/>
            <w:vAlign w:val="bottom"/>
            <w:hideMark/>
          </w:tcPr>
          <w:p w14:paraId="52A22F38" w14:textId="77777777" w:rsidR="001A4CA0" w:rsidRPr="00966BD4" w:rsidRDefault="001A4CA0" w:rsidP="001A4CA0">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 and drawbacks</w:t>
            </w:r>
          </w:p>
        </w:tc>
        <w:tc>
          <w:tcPr>
            <w:tcW w:w="727" w:type="pct"/>
            <w:tcBorders>
              <w:top w:val="nil"/>
              <w:left w:val="nil"/>
              <w:bottom w:val="nil"/>
              <w:right w:val="nil"/>
            </w:tcBorders>
            <w:shd w:val="clear" w:color="auto" w:fill="auto"/>
            <w:noWrap/>
            <w:vAlign w:val="center"/>
            <w:hideMark/>
          </w:tcPr>
          <w:p w14:paraId="32FA647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700</w:t>
            </w:r>
          </w:p>
        </w:tc>
        <w:tc>
          <w:tcPr>
            <w:tcW w:w="727" w:type="pct"/>
            <w:tcBorders>
              <w:top w:val="nil"/>
              <w:left w:val="nil"/>
              <w:bottom w:val="nil"/>
              <w:right w:val="nil"/>
            </w:tcBorders>
            <w:shd w:val="clear" w:color="000000" w:fill="E6F2FF"/>
            <w:noWrap/>
            <w:vAlign w:val="center"/>
            <w:hideMark/>
          </w:tcPr>
          <w:p w14:paraId="4AEC088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700</w:t>
            </w:r>
          </w:p>
        </w:tc>
        <w:tc>
          <w:tcPr>
            <w:tcW w:w="51" w:type="pct"/>
            <w:tcBorders>
              <w:top w:val="nil"/>
              <w:left w:val="nil"/>
              <w:bottom w:val="nil"/>
              <w:right w:val="nil"/>
            </w:tcBorders>
            <w:shd w:val="clear" w:color="auto" w:fill="auto"/>
            <w:noWrap/>
            <w:vAlign w:val="center"/>
            <w:hideMark/>
          </w:tcPr>
          <w:p w14:paraId="5C0F4BAD"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1D70DA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4232B4E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0.0</w:t>
            </w:r>
          </w:p>
        </w:tc>
      </w:tr>
      <w:tr w:rsidR="001A4CA0" w:rsidRPr="00966BD4" w14:paraId="5B0F4601" w14:textId="77777777" w:rsidTr="001A4CA0">
        <w:trPr>
          <w:trHeight w:hRule="exact" w:val="225"/>
        </w:trPr>
        <w:tc>
          <w:tcPr>
            <w:tcW w:w="2182" w:type="pct"/>
            <w:tcBorders>
              <w:top w:val="nil"/>
              <w:left w:val="nil"/>
              <w:bottom w:val="nil"/>
              <w:right w:val="nil"/>
            </w:tcBorders>
            <w:shd w:val="clear" w:color="auto" w:fill="auto"/>
            <w:noWrap/>
            <w:vAlign w:val="bottom"/>
            <w:hideMark/>
          </w:tcPr>
          <w:p w14:paraId="397B0D88"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 xml:space="preserve">Total excise and customs duty </w:t>
            </w:r>
          </w:p>
        </w:tc>
        <w:tc>
          <w:tcPr>
            <w:tcW w:w="727" w:type="pct"/>
            <w:tcBorders>
              <w:top w:val="single" w:sz="4" w:space="0" w:color="293F5B"/>
              <w:left w:val="nil"/>
              <w:bottom w:val="nil"/>
              <w:right w:val="nil"/>
            </w:tcBorders>
            <w:shd w:val="clear" w:color="auto" w:fill="auto"/>
            <w:noWrap/>
            <w:vAlign w:val="center"/>
            <w:hideMark/>
          </w:tcPr>
          <w:p w14:paraId="40C2F08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42,810</w:t>
            </w:r>
          </w:p>
        </w:tc>
        <w:tc>
          <w:tcPr>
            <w:tcW w:w="727" w:type="pct"/>
            <w:tcBorders>
              <w:top w:val="single" w:sz="4" w:space="0" w:color="293F5B"/>
              <w:left w:val="nil"/>
              <w:bottom w:val="nil"/>
              <w:right w:val="nil"/>
            </w:tcBorders>
            <w:shd w:val="clear" w:color="000000" w:fill="E6F2FF"/>
            <w:noWrap/>
            <w:vAlign w:val="center"/>
            <w:hideMark/>
          </w:tcPr>
          <w:p w14:paraId="11912D0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43,250</w:t>
            </w:r>
          </w:p>
        </w:tc>
        <w:tc>
          <w:tcPr>
            <w:tcW w:w="51" w:type="pct"/>
            <w:tcBorders>
              <w:top w:val="nil"/>
              <w:left w:val="nil"/>
              <w:bottom w:val="nil"/>
              <w:right w:val="nil"/>
            </w:tcBorders>
            <w:shd w:val="clear" w:color="auto" w:fill="auto"/>
            <w:noWrap/>
            <w:vAlign w:val="center"/>
            <w:hideMark/>
          </w:tcPr>
          <w:p w14:paraId="097926CF"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07D28EB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440</w:t>
            </w:r>
          </w:p>
        </w:tc>
        <w:tc>
          <w:tcPr>
            <w:tcW w:w="657" w:type="pct"/>
            <w:tcBorders>
              <w:top w:val="single" w:sz="4" w:space="0" w:color="293F5B"/>
              <w:left w:val="nil"/>
              <w:bottom w:val="nil"/>
              <w:right w:val="nil"/>
            </w:tcBorders>
            <w:shd w:val="clear" w:color="auto" w:fill="auto"/>
            <w:noWrap/>
            <w:vAlign w:val="center"/>
            <w:hideMark/>
          </w:tcPr>
          <w:p w14:paraId="33B8FEA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1.0</w:t>
            </w:r>
          </w:p>
        </w:tc>
      </w:tr>
      <w:tr w:rsidR="001A4CA0" w:rsidRPr="00966BD4" w14:paraId="36BCC88A"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3FD8AAC"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Major Bank Levy</w:t>
            </w:r>
          </w:p>
        </w:tc>
        <w:tc>
          <w:tcPr>
            <w:tcW w:w="727" w:type="pct"/>
            <w:tcBorders>
              <w:top w:val="nil"/>
              <w:left w:val="nil"/>
              <w:bottom w:val="nil"/>
              <w:right w:val="nil"/>
            </w:tcBorders>
            <w:shd w:val="clear" w:color="auto" w:fill="auto"/>
            <w:noWrap/>
            <w:vAlign w:val="center"/>
            <w:hideMark/>
          </w:tcPr>
          <w:p w14:paraId="60BDE16B"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1,550</w:t>
            </w:r>
          </w:p>
        </w:tc>
        <w:tc>
          <w:tcPr>
            <w:tcW w:w="727" w:type="pct"/>
            <w:tcBorders>
              <w:top w:val="nil"/>
              <w:left w:val="nil"/>
              <w:bottom w:val="nil"/>
              <w:right w:val="nil"/>
            </w:tcBorders>
            <w:shd w:val="clear" w:color="000000" w:fill="E6F2FF"/>
            <w:noWrap/>
            <w:vAlign w:val="center"/>
            <w:hideMark/>
          </w:tcPr>
          <w:p w14:paraId="6F7DA64D"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1,540</w:t>
            </w:r>
          </w:p>
        </w:tc>
        <w:tc>
          <w:tcPr>
            <w:tcW w:w="51" w:type="pct"/>
            <w:tcBorders>
              <w:top w:val="nil"/>
              <w:left w:val="nil"/>
              <w:bottom w:val="nil"/>
              <w:right w:val="nil"/>
            </w:tcBorders>
            <w:shd w:val="clear" w:color="auto" w:fill="auto"/>
            <w:noWrap/>
            <w:vAlign w:val="center"/>
            <w:hideMark/>
          </w:tcPr>
          <w:p w14:paraId="4261CF69"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D5EB74D" w14:textId="23405BF6"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10</w:t>
            </w:r>
          </w:p>
        </w:tc>
        <w:tc>
          <w:tcPr>
            <w:tcW w:w="657" w:type="pct"/>
            <w:tcBorders>
              <w:top w:val="nil"/>
              <w:left w:val="nil"/>
              <w:bottom w:val="nil"/>
              <w:right w:val="nil"/>
            </w:tcBorders>
            <w:shd w:val="clear" w:color="auto" w:fill="auto"/>
            <w:noWrap/>
            <w:vAlign w:val="center"/>
            <w:hideMark/>
          </w:tcPr>
          <w:p w14:paraId="75AADBBD" w14:textId="6D19D514"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0.6</w:t>
            </w:r>
          </w:p>
        </w:tc>
      </w:tr>
      <w:tr w:rsidR="001A4CA0" w:rsidRPr="00966BD4" w14:paraId="585667A0" w14:textId="77777777" w:rsidTr="001A4CA0">
        <w:trPr>
          <w:trHeight w:hRule="exact" w:val="225"/>
        </w:trPr>
        <w:tc>
          <w:tcPr>
            <w:tcW w:w="2182" w:type="pct"/>
            <w:tcBorders>
              <w:top w:val="nil"/>
              <w:left w:val="nil"/>
              <w:bottom w:val="nil"/>
              <w:right w:val="nil"/>
            </w:tcBorders>
            <w:shd w:val="clear" w:color="auto" w:fill="auto"/>
            <w:noWrap/>
            <w:vAlign w:val="center"/>
            <w:hideMark/>
          </w:tcPr>
          <w:p w14:paraId="036618C0"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Agricultural levies</w:t>
            </w:r>
          </w:p>
        </w:tc>
        <w:tc>
          <w:tcPr>
            <w:tcW w:w="727" w:type="pct"/>
            <w:tcBorders>
              <w:top w:val="nil"/>
              <w:left w:val="nil"/>
              <w:bottom w:val="nil"/>
              <w:right w:val="nil"/>
            </w:tcBorders>
            <w:shd w:val="clear" w:color="auto" w:fill="auto"/>
            <w:noWrap/>
            <w:vAlign w:val="center"/>
            <w:hideMark/>
          </w:tcPr>
          <w:p w14:paraId="7ED01D3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623</w:t>
            </w:r>
          </w:p>
        </w:tc>
        <w:tc>
          <w:tcPr>
            <w:tcW w:w="727" w:type="pct"/>
            <w:tcBorders>
              <w:top w:val="nil"/>
              <w:left w:val="nil"/>
              <w:bottom w:val="nil"/>
              <w:right w:val="nil"/>
            </w:tcBorders>
            <w:shd w:val="clear" w:color="000000" w:fill="E6F2FF"/>
            <w:noWrap/>
            <w:vAlign w:val="center"/>
            <w:hideMark/>
          </w:tcPr>
          <w:p w14:paraId="10FDD24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631</w:t>
            </w:r>
          </w:p>
        </w:tc>
        <w:tc>
          <w:tcPr>
            <w:tcW w:w="51" w:type="pct"/>
            <w:tcBorders>
              <w:top w:val="nil"/>
              <w:left w:val="nil"/>
              <w:bottom w:val="nil"/>
              <w:right w:val="nil"/>
            </w:tcBorders>
            <w:shd w:val="clear" w:color="auto" w:fill="auto"/>
            <w:noWrap/>
            <w:vAlign w:val="center"/>
            <w:hideMark/>
          </w:tcPr>
          <w:p w14:paraId="747894AE"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0ECBB7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8</w:t>
            </w:r>
          </w:p>
        </w:tc>
        <w:tc>
          <w:tcPr>
            <w:tcW w:w="657" w:type="pct"/>
            <w:tcBorders>
              <w:top w:val="nil"/>
              <w:left w:val="nil"/>
              <w:bottom w:val="nil"/>
              <w:right w:val="nil"/>
            </w:tcBorders>
            <w:shd w:val="clear" w:color="auto" w:fill="auto"/>
            <w:noWrap/>
            <w:vAlign w:val="center"/>
            <w:hideMark/>
          </w:tcPr>
          <w:p w14:paraId="24E09F9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1.2</w:t>
            </w:r>
          </w:p>
        </w:tc>
      </w:tr>
      <w:tr w:rsidR="001A4CA0" w:rsidRPr="00966BD4" w14:paraId="317DA1E8" w14:textId="77777777" w:rsidTr="001A4CA0">
        <w:trPr>
          <w:trHeight w:hRule="exact" w:val="225"/>
        </w:trPr>
        <w:tc>
          <w:tcPr>
            <w:tcW w:w="2182" w:type="pct"/>
            <w:tcBorders>
              <w:top w:val="nil"/>
              <w:left w:val="nil"/>
              <w:bottom w:val="nil"/>
              <w:right w:val="nil"/>
            </w:tcBorders>
            <w:shd w:val="clear" w:color="auto" w:fill="auto"/>
            <w:noWrap/>
            <w:vAlign w:val="center"/>
            <w:hideMark/>
          </w:tcPr>
          <w:p w14:paraId="05D238D3"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Visa application charges(b)</w:t>
            </w:r>
          </w:p>
        </w:tc>
        <w:tc>
          <w:tcPr>
            <w:tcW w:w="727" w:type="pct"/>
            <w:tcBorders>
              <w:top w:val="nil"/>
              <w:left w:val="nil"/>
              <w:bottom w:val="nil"/>
              <w:right w:val="nil"/>
            </w:tcBorders>
            <w:shd w:val="clear" w:color="auto" w:fill="auto"/>
            <w:noWrap/>
            <w:vAlign w:val="center"/>
            <w:hideMark/>
          </w:tcPr>
          <w:p w14:paraId="6CDAA60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2,565</w:t>
            </w:r>
          </w:p>
        </w:tc>
        <w:tc>
          <w:tcPr>
            <w:tcW w:w="727" w:type="pct"/>
            <w:tcBorders>
              <w:top w:val="nil"/>
              <w:left w:val="nil"/>
              <w:bottom w:val="nil"/>
              <w:right w:val="nil"/>
            </w:tcBorders>
            <w:shd w:val="clear" w:color="000000" w:fill="E6F2FF"/>
            <w:noWrap/>
            <w:vAlign w:val="center"/>
            <w:hideMark/>
          </w:tcPr>
          <w:p w14:paraId="1B1F6CC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2,995</w:t>
            </w:r>
          </w:p>
        </w:tc>
        <w:tc>
          <w:tcPr>
            <w:tcW w:w="51" w:type="pct"/>
            <w:tcBorders>
              <w:top w:val="nil"/>
              <w:left w:val="nil"/>
              <w:bottom w:val="nil"/>
              <w:right w:val="nil"/>
            </w:tcBorders>
            <w:shd w:val="clear" w:color="auto" w:fill="auto"/>
            <w:noWrap/>
            <w:vAlign w:val="center"/>
            <w:hideMark/>
          </w:tcPr>
          <w:p w14:paraId="1F9CBDE0"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B2CFAF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430</w:t>
            </w:r>
          </w:p>
        </w:tc>
        <w:tc>
          <w:tcPr>
            <w:tcW w:w="657" w:type="pct"/>
            <w:tcBorders>
              <w:top w:val="nil"/>
              <w:left w:val="nil"/>
              <w:bottom w:val="nil"/>
              <w:right w:val="nil"/>
            </w:tcBorders>
            <w:shd w:val="clear" w:color="auto" w:fill="auto"/>
            <w:noWrap/>
            <w:vAlign w:val="center"/>
            <w:hideMark/>
          </w:tcPr>
          <w:p w14:paraId="67A49F3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16.8</w:t>
            </w:r>
          </w:p>
        </w:tc>
      </w:tr>
      <w:tr w:rsidR="001A4CA0" w:rsidRPr="00966BD4" w14:paraId="0966C653" w14:textId="77777777" w:rsidTr="001A4CA0">
        <w:trPr>
          <w:trHeight w:hRule="exact" w:val="225"/>
        </w:trPr>
        <w:tc>
          <w:tcPr>
            <w:tcW w:w="2182" w:type="pct"/>
            <w:tcBorders>
              <w:top w:val="nil"/>
              <w:left w:val="nil"/>
              <w:bottom w:val="nil"/>
              <w:right w:val="nil"/>
            </w:tcBorders>
            <w:shd w:val="clear" w:color="auto" w:fill="auto"/>
            <w:noWrap/>
            <w:vAlign w:val="center"/>
            <w:hideMark/>
          </w:tcPr>
          <w:p w14:paraId="3BB90458"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Other taxes(b)</w:t>
            </w:r>
          </w:p>
        </w:tc>
        <w:tc>
          <w:tcPr>
            <w:tcW w:w="727" w:type="pct"/>
            <w:tcBorders>
              <w:top w:val="nil"/>
              <w:left w:val="nil"/>
              <w:bottom w:val="nil"/>
              <w:right w:val="nil"/>
            </w:tcBorders>
            <w:shd w:val="clear" w:color="000000" w:fill="FFFFFF"/>
            <w:noWrap/>
            <w:vAlign w:val="center"/>
            <w:hideMark/>
          </w:tcPr>
          <w:p w14:paraId="43E86D40"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4,378</w:t>
            </w:r>
          </w:p>
        </w:tc>
        <w:tc>
          <w:tcPr>
            <w:tcW w:w="727" w:type="pct"/>
            <w:tcBorders>
              <w:top w:val="nil"/>
              <w:left w:val="nil"/>
              <w:bottom w:val="nil"/>
              <w:right w:val="nil"/>
            </w:tcBorders>
            <w:shd w:val="clear" w:color="000000" w:fill="E6F2FF"/>
            <w:noWrap/>
            <w:vAlign w:val="center"/>
            <w:hideMark/>
          </w:tcPr>
          <w:p w14:paraId="46B3FC74"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4,593</w:t>
            </w:r>
          </w:p>
        </w:tc>
        <w:tc>
          <w:tcPr>
            <w:tcW w:w="51" w:type="pct"/>
            <w:tcBorders>
              <w:top w:val="nil"/>
              <w:left w:val="nil"/>
              <w:bottom w:val="nil"/>
              <w:right w:val="nil"/>
            </w:tcBorders>
            <w:shd w:val="clear" w:color="auto" w:fill="auto"/>
            <w:noWrap/>
            <w:vAlign w:val="center"/>
            <w:hideMark/>
          </w:tcPr>
          <w:p w14:paraId="01E8BD92"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8BD2BD5"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215</w:t>
            </w:r>
          </w:p>
        </w:tc>
        <w:tc>
          <w:tcPr>
            <w:tcW w:w="657" w:type="pct"/>
            <w:tcBorders>
              <w:top w:val="nil"/>
              <w:left w:val="nil"/>
              <w:bottom w:val="nil"/>
              <w:right w:val="nil"/>
            </w:tcBorders>
            <w:shd w:val="clear" w:color="auto" w:fill="auto"/>
            <w:noWrap/>
            <w:vAlign w:val="center"/>
            <w:hideMark/>
          </w:tcPr>
          <w:p w14:paraId="6C476125"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4.9</w:t>
            </w:r>
          </w:p>
        </w:tc>
      </w:tr>
      <w:tr w:rsidR="001A4CA0" w:rsidRPr="00966BD4" w14:paraId="7FE39D52"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6D3179F"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Indirect taxation receipts</w:t>
            </w:r>
          </w:p>
        </w:tc>
        <w:tc>
          <w:tcPr>
            <w:tcW w:w="727" w:type="pct"/>
            <w:tcBorders>
              <w:top w:val="single" w:sz="4" w:space="0" w:color="293F5B"/>
              <w:left w:val="nil"/>
              <w:bottom w:val="single" w:sz="4" w:space="0" w:color="293F5B"/>
              <w:right w:val="nil"/>
            </w:tcBorders>
            <w:shd w:val="clear" w:color="000000" w:fill="FFFFFF"/>
            <w:noWrap/>
            <w:vAlign w:val="center"/>
            <w:hideMark/>
          </w:tcPr>
          <w:p w14:paraId="2B3E14D1"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136,758</w:t>
            </w:r>
          </w:p>
        </w:tc>
        <w:tc>
          <w:tcPr>
            <w:tcW w:w="727" w:type="pct"/>
            <w:tcBorders>
              <w:top w:val="single" w:sz="4" w:space="0" w:color="293F5B"/>
              <w:left w:val="nil"/>
              <w:bottom w:val="single" w:sz="4" w:space="0" w:color="293F5B"/>
              <w:right w:val="nil"/>
            </w:tcBorders>
            <w:shd w:val="clear" w:color="000000" w:fill="E6F2FF"/>
            <w:noWrap/>
            <w:vAlign w:val="center"/>
            <w:hideMark/>
          </w:tcPr>
          <w:p w14:paraId="07B1588A"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137,060</w:t>
            </w:r>
          </w:p>
        </w:tc>
        <w:tc>
          <w:tcPr>
            <w:tcW w:w="51" w:type="pct"/>
            <w:tcBorders>
              <w:top w:val="nil"/>
              <w:left w:val="nil"/>
              <w:bottom w:val="nil"/>
              <w:right w:val="nil"/>
            </w:tcBorders>
            <w:shd w:val="clear" w:color="auto" w:fill="auto"/>
            <w:noWrap/>
            <w:vAlign w:val="center"/>
            <w:hideMark/>
          </w:tcPr>
          <w:p w14:paraId="399E6BF7" w14:textId="77777777" w:rsidR="001A4CA0" w:rsidRPr="00966BD4" w:rsidRDefault="001A4CA0" w:rsidP="001A4CA0">
            <w:pPr>
              <w:spacing w:before="0" w:after="0" w:line="240" w:lineRule="auto"/>
              <w:jc w:val="right"/>
              <w:rPr>
                <w:rFonts w:ascii="Arial" w:hAnsi="Arial" w:cs="Arial"/>
                <w:b/>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0DA0C7AA"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302</w:t>
            </w:r>
          </w:p>
        </w:tc>
        <w:tc>
          <w:tcPr>
            <w:tcW w:w="657" w:type="pct"/>
            <w:tcBorders>
              <w:top w:val="single" w:sz="4" w:space="0" w:color="293F5B"/>
              <w:left w:val="nil"/>
              <w:bottom w:val="single" w:sz="4" w:space="0" w:color="293F5B"/>
              <w:right w:val="nil"/>
            </w:tcBorders>
            <w:shd w:val="clear" w:color="auto" w:fill="auto"/>
            <w:noWrap/>
            <w:vAlign w:val="center"/>
            <w:hideMark/>
          </w:tcPr>
          <w:p w14:paraId="6C186B91"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0.2</w:t>
            </w:r>
          </w:p>
        </w:tc>
      </w:tr>
      <w:tr w:rsidR="001A4CA0" w:rsidRPr="00966BD4" w14:paraId="4DE46864" w14:textId="77777777" w:rsidTr="001A4CA0">
        <w:trPr>
          <w:trHeight w:hRule="exact" w:val="225"/>
        </w:trPr>
        <w:tc>
          <w:tcPr>
            <w:tcW w:w="2182" w:type="pct"/>
            <w:tcBorders>
              <w:top w:val="nil"/>
              <w:left w:val="nil"/>
              <w:bottom w:val="nil"/>
              <w:right w:val="nil"/>
            </w:tcBorders>
            <w:shd w:val="clear" w:color="auto" w:fill="auto"/>
            <w:noWrap/>
            <w:vAlign w:val="center"/>
            <w:hideMark/>
          </w:tcPr>
          <w:p w14:paraId="5A175889"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Taxation receipts</w:t>
            </w:r>
          </w:p>
        </w:tc>
        <w:tc>
          <w:tcPr>
            <w:tcW w:w="727" w:type="pct"/>
            <w:tcBorders>
              <w:top w:val="nil"/>
              <w:left w:val="nil"/>
              <w:bottom w:val="single" w:sz="4" w:space="0" w:color="293F5B"/>
              <w:right w:val="nil"/>
            </w:tcBorders>
            <w:shd w:val="clear" w:color="000000" w:fill="FFFFFF"/>
            <w:noWrap/>
            <w:vAlign w:val="center"/>
            <w:hideMark/>
          </w:tcPr>
          <w:p w14:paraId="4CAC6273"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562,858</w:t>
            </w:r>
          </w:p>
        </w:tc>
        <w:tc>
          <w:tcPr>
            <w:tcW w:w="727" w:type="pct"/>
            <w:tcBorders>
              <w:top w:val="nil"/>
              <w:left w:val="nil"/>
              <w:bottom w:val="single" w:sz="4" w:space="0" w:color="293F5B"/>
              <w:right w:val="nil"/>
            </w:tcBorders>
            <w:shd w:val="clear" w:color="000000" w:fill="E6F2FF"/>
            <w:noWrap/>
            <w:vAlign w:val="center"/>
            <w:hideMark/>
          </w:tcPr>
          <w:p w14:paraId="0C49B816"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588,050</w:t>
            </w:r>
          </w:p>
        </w:tc>
        <w:tc>
          <w:tcPr>
            <w:tcW w:w="51" w:type="pct"/>
            <w:tcBorders>
              <w:top w:val="nil"/>
              <w:left w:val="nil"/>
              <w:bottom w:val="nil"/>
              <w:right w:val="nil"/>
            </w:tcBorders>
            <w:shd w:val="clear" w:color="auto" w:fill="auto"/>
            <w:noWrap/>
            <w:vAlign w:val="center"/>
            <w:hideMark/>
          </w:tcPr>
          <w:p w14:paraId="0327E376" w14:textId="77777777" w:rsidR="001A4CA0" w:rsidRPr="00966BD4" w:rsidRDefault="001A4CA0" w:rsidP="001A4CA0">
            <w:pPr>
              <w:spacing w:before="0" w:after="0" w:line="240" w:lineRule="auto"/>
              <w:jc w:val="right"/>
              <w:rPr>
                <w:rFonts w:ascii="Arial" w:hAnsi="Arial" w:cs="Arial"/>
                <w:b/>
                <w:sz w:val="16"/>
                <w:szCs w:val="16"/>
              </w:rPr>
            </w:pPr>
          </w:p>
        </w:tc>
        <w:tc>
          <w:tcPr>
            <w:tcW w:w="657" w:type="pct"/>
            <w:tcBorders>
              <w:top w:val="nil"/>
              <w:left w:val="nil"/>
              <w:bottom w:val="single" w:sz="4" w:space="0" w:color="293F5B"/>
              <w:right w:val="nil"/>
            </w:tcBorders>
            <w:shd w:val="clear" w:color="auto" w:fill="auto"/>
            <w:noWrap/>
            <w:vAlign w:val="center"/>
            <w:hideMark/>
          </w:tcPr>
          <w:p w14:paraId="2C4DD393"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25,192</w:t>
            </w:r>
          </w:p>
        </w:tc>
        <w:tc>
          <w:tcPr>
            <w:tcW w:w="657" w:type="pct"/>
            <w:tcBorders>
              <w:top w:val="nil"/>
              <w:left w:val="nil"/>
              <w:bottom w:val="single" w:sz="4" w:space="0" w:color="293F5B"/>
              <w:right w:val="nil"/>
            </w:tcBorders>
            <w:shd w:val="clear" w:color="auto" w:fill="auto"/>
            <w:noWrap/>
            <w:vAlign w:val="center"/>
            <w:hideMark/>
          </w:tcPr>
          <w:p w14:paraId="40BA809A"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4.5</w:t>
            </w:r>
          </w:p>
        </w:tc>
      </w:tr>
      <w:tr w:rsidR="001A4CA0" w:rsidRPr="00966BD4" w14:paraId="34A5936F" w14:textId="77777777" w:rsidTr="001A4CA0">
        <w:trPr>
          <w:trHeight w:hRule="exact" w:val="60"/>
        </w:trPr>
        <w:tc>
          <w:tcPr>
            <w:tcW w:w="2182" w:type="pct"/>
            <w:tcBorders>
              <w:top w:val="nil"/>
              <w:left w:val="nil"/>
              <w:bottom w:val="nil"/>
              <w:right w:val="nil"/>
            </w:tcBorders>
            <w:shd w:val="clear" w:color="auto" w:fill="auto"/>
            <w:noWrap/>
            <w:vAlign w:val="center"/>
            <w:hideMark/>
          </w:tcPr>
          <w:p w14:paraId="4E859301" w14:textId="77777777" w:rsidR="001A4CA0" w:rsidRPr="00966BD4" w:rsidRDefault="001A4CA0" w:rsidP="001A4CA0">
            <w:pPr>
              <w:spacing w:before="0" w:after="0" w:line="240" w:lineRule="auto"/>
              <w:jc w:val="right"/>
              <w:rPr>
                <w:rFonts w:ascii="Arial" w:hAnsi="Arial" w:cs="Arial"/>
                <w:b/>
                <w:sz w:val="16"/>
                <w:szCs w:val="16"/>
              </w:rPr>
            </w:pPr>
          </w:p>
        </w:tc>
        <w:tc>
          <w:tcPr>
            <w:tcW w:w="727" w:type="pct"/>
            <w:tcBorders>
              <w:top w:val="nil"/>
              <w:left w:val="nil"/>
              <w:bottom w:val="nil"/>
              <w:right w:val="nil"/>
            </w:tcBorders>
            <w:shd w:val="clear" w:color="000000" w:fill="FFFFFF"/>
            <w:noWrap/>
            <w:vAlign w:val="center"/>
            <w:hideMark/>
          </w:tcPr>
          <w:p w14:paraId="75655C8F"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 </w:t>
            </w:r>
          </w:p>
        </w:tc>
        <w:tc>
          <w:tcPr>
            <w:tcW w:w="727" w:type="pct"/>
            <w:tcBorders>
              <w:top w:val="nil"/>
              <w:left w:val="nil"/>
              <w:bottom w:val="nil"/>
              <w:right w:val="nil"/>
            </w:tcBorders>
            <w:shd w:val="clear" w:color="000000" w:fill="E6F2FF"/>
            <w:noWrap/>
            <w:vAlign w:val="center"/>
            <w:hideMark/>
          </w:tcPr>
          <w:p w14:paraId="4C9CD9ED"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 </w:t>
            </w:r>
          </w:p>
        </w:tc>
        <w:tc>
          <w:tcPr>
            <w:tcW w:w="51" w:type="pct"/>
            <w:tcBorders>
              <w:top w:val="nil"/>
              <w:left w:val="nil"/>
              <w:bottom w:val="nil"/>
              <w:right w:val="nil"/>
            </w:tcBorders>
            <w:shd w:val="clear" w:color="auto" w:fill="auto"/>
            <w:noWrap/>
            <w:vAlign w:val="center"/>
            <w:hideMark/>
          </w:tcPr>
          <w:p w14:paraId="38613C3B" w14:textId="77777777" w:rsidR="001A4CA0" w:rsidRPr="00966BD4" w:rsidRDefault="001A4CA0" w:rsidP="001A4CA0">
            <w:pPr>
              <w:spacing w:before="0" w:after="0" w:line="240" w:lineRule="auto"/>
              <w:rPr>
                <w:rFonts w:ascii="Arial" w:hAnsi="Arial" w:cs="Arial"/>
                <w:b/>
                <w:sz w:val="16"/>
                <w:szCs w:val="16"/>
              </w:rPr>
            </w:pPr>
          </w:p>
        </w:tc>
        <w:tc>
          <w:tcPr>
            <w:tcW w:w="657" w:type="pct"/>
            <w:tcBorders>
              <w:top w:val="nil"/>
              <w:left w:val="nil"/>
              <w:bottom w:val="nil"/>
              <w:right w:val="nil"/>
            </w:tcBorders>
            <w:shd w:val="clear" w:color="auto" w:fill="auto"/>
            <w:noWrap/>
            <w:vAlign w:val="center"/>
            <w:hideMark/>
          </w:tcPr>
          <w:p w14:paraId="055062D4" w14:textId="77777777" w:rsidR="001A4CA0" w:rsidRPr="00966BD4" w:rsidRDefault="001A4CA0" w:rsidP="001A4CA0">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77EC05C0" w14:textId="77777777" w:rsidR="001A4CA0" w:rsidRPr="00966BD4" w:rsidRDefault="001A4CA0" w:rsidP="001A4CA0">
            <w:pPr>
              <w:spacing w:before="0" w:after="0" w:line="240" w:lineRule="auto"/>
              <w:jc w:val="right"/>
              <w:rPr>
                <w:rFonts w:ascii="Times New Roman" w:hAnsi="Times New Roman"/>
                <w:sz w:val="20"/>
              </w:rPr>
            </w:pPr>
          </w:p>
        </w:tc>
      </w:tr>
      <w:tr w:rsidR="001A4CA0" w:rsidRPr="00966BD4" w14:paraId="0B3A1C30"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F15C664"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Sales of goods and services</w:t>
            </w:r>
          </w:p>
        </w:tc>
        <w:tc>
          <w:tcPr>
            <w:tcW w:w="727" w:type="pct"/>
            <w:tcBorders>
              <w:top w:val="nil"/>
              <w:left w:val="nil"/>
              <w:bottom w:val="nil"/>
              <w:right w:val="nil"/>
            </w:tcBorders>
            <w:shd w:val="clear" w:color="000000" w:fill="FFFFFF"/>
            <w:noWrap/>
            <w:vAlign w:val="center"/>
            <w:hideMark/>
          </w:tcPr>
          <w:p w14:paraId="1168C59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18,550</w:t>
            </w:r>
          </w:p>
        </w:tc>
        <w:tc>
          <w:tcPr>
            <w:tcW w:w="727" w:type="pct"/>
            <w:tcBorders>
              <w:top w:val="nil"/>
              <w:left w:val="nil"/>
              <w:bottom w:val="nil"/>
              <w:right w:val="nil"/>
            </w:tcBorders>
            <w:shd w:val="clear" w:color="000000" w:fill="E6F2FF"/>
            <w:noWrap/>
            <w:vAlign w:val="center"/>
            <w:hideMark/>
          </w:tcPr>
          <w:p w14:paraId="7B7114D5"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19,200</w:t>
            </w:r>
          </w:p>
        </w:tc>
        <w:tc>
          <w:tcPr>
            <w:tcW w:w="51" w:type="pct"/>
            <w:tcBorders>
              <w:top w:val="nil"/>
              <w:left w:val="nil"/>
              <w:bottom w:val="nil"/>
              <w:right w:val="nil"/>
            </w:tcBorders>
            <w:shd w:val="clear" w:color="auto" w:fill="auto"/>
            <w:noWrap/>
            <w:vAlign w:val="center"/>
            <w:hideMark/>
          </w:tcPr>
          <w:p w14:paraId="3C392D8F"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8959C4A"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650</w:t>
            </w:r>
          </w:p>
        </w:tc>
        <w:tc>
          <w:tcPr>
            <w:tcW w:w="657" w:type="pct"/>
            <w:tcBorders>
              <w:top w:val="nil"/>
              <w:left w:val="nil"/>
              <w:bottom w:val="nil"/>
              <w:right w:val="nil"/>
            </w:tcBorders>
            <w:shd w:val="clear" w:color="auto" w:fill="auto"/>
            <w:noWrap/>
            <w:vAlign w:val="center"/>
            <w:hideMark/>
          </w:tcPr>
          <w:p w14:paraId="1E99BED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3.5</w:t>
            </w:r>
          </w:p>
        </w:tc>
      </w:tr>
      <w:tr w:rsidR="001A4CA0" w:rsidRPr="00966BD4" w14:paraId="40164FE0" w14:textId="77777777" w:rsidTr="001A4CA0">
        <w:trPr>
          <w:trHeight w:hRule="exact" w:val="225"/>
        </w:trPr>
        <w:tc>
          <w:tcPr>
            <w:tcW w:w="2182" w:type="pct"/>
            <w:tcBorders>
              <w:top w:val="nil"/>
              <w:left w:val="nil"/>
              <w:bottom w:val="nil"/>
              <w:right w:val="nil"/>
            </w:tcBorders>
            <w:shd w:val="clear" w:color="auto" w:fill="auto"/>
            <w:noWrap/>
            <w:vAlign w:val="center"/>
            <w:hideMark/>
          </w:tcPr>
          <w:p w14:paraId="4F58231F"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Interest received</w:t>
            </w:r>
          </w:p>
        </w:tc>
        <w:tc>
          <w:tcPr>
            <w:tcW w:w="727" w:type="pct"/>
            <w:tcBorders>
              <w:top w:val="nil"/>
              <w:left w:val="nil"/>
              <w:bottom w:val="nil"/>
              <w:right w:val="nil"/>
            </w:tcBorders>
            <w:shd w:val="clear" w:color="000000" w:fill="FFFFFF"/>
            <w:noWrap/>
            <w:vAlign w:val="center"/>
            <w:hideMark/>
          </w:tcPr>
          <w:p w14:paraId="03483342"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5,275</w:t>
            </w:r>
          </w:p>
        </w:tc>
        <w:tc>
          <w:tcPr>
            <w:tcW w:w="727" w:type="pct"/>
            <w:tcBorders>
              <w:top w:val="nil"/>
              <w:left w:val="nil"/>
              <w:bottom w:val="nil"/>
              <w:right w:val="nil"/>
            </w:tcBorders>
            <w:shd w:val="clear" w:color="000000" w:fill="E6F2FF"/>
            <w:noWrap/>
            <w:vAlign w:val="center"/>
            <w:hideMark/>
          </w:tcPr>
          <w:p w14:paraId="03E31A09"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6,115</w:t>
            </w:r>
          </w:p>
        </w:tc>
        <w:tc>
          <w:tcPr>
            <w:tcW w:w="51" w:type="pct"/>
            <w:tcBorders>
              <w:top w:val="nil"/>
              <w:left w:val="nil"/>
              <w:bottom w:val="nil"/>
              <w:right w:val="nil"/>
            </w:tcBorders>
            <w:shd w:val="clear" w:color="auto" w:fill="auto"/>
            <w:noWrap/>
            <w:vAlign w:val="center"/>
            <w:hideMark/>
          </w:tcPr>
          <w:p w14:paraId="3A6A8172"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2F4C966"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840</w:t>
            </w:r>
          </w:p>
        </w:tc>
        <w:tc>
          <w:tcPr>
            <w:tcW w:w="657" w:type="pct"/>
            <w:tcBorders>
              <w:top w:val="nil"/>
              <w:left w:val="nil"/>
              <w:bottom w:val="nil"/>
              <w:right w:val="nil"/>
            </w:tcBorders>
            <w:shd w:val="clear" w:color="auto" w:fill="auto"/>
            <w:noWrap/>
            <w:vAlign w:val="center"/>
            <w:hideMark/>
          </w:tcPr>
          <w:p w14:paraId="23DF1431"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15.9</w:t>
            </w:r>
          </w:p>
        </w:tc>
      </w:tr>
      <w:tr w:rsidR="001A4CA0" w:rsidRPr="00966BD4" w14:paraId="5938FE9D" w14:textId="77777777" w:rsidTr="001A4CA0">
        <w:trPr>
          <w:trHeight w:hRule="exact" w:val="225"/>
        </w:trPr>
        <w:tc>
          <w:tcPr>
            <w:tcW w:w="2182" w:type="pct"/>
            <w:tcBorders>
              <w:top w:val="nil"/>
              <w:left w:val="nil"/>
              <w:bottom w:val="nil"/>
              <w:right w:val="nil"/>
            </w:tcBorders>
            <w:shd w:val="clear" w:color="auto" w:fill="auto"/>
            <w:noWrap/>
            <w:vAlign w:val="center"/>
            <w:hideMark/>
          </w:tcPr>
          <w:p w14:paraId="3303276E" w14:textId="77777777"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Dividends and distributions</w:t>
            </w:r>
          </w:p>
        </w:tc>
        <w:tc>
          <w:tcPr>
            <w:tcW w:w="727" w:type="pct"/>
            <w:tcBorders>
              <w:top w:val="nil"/>
              <w:left w:val="nil"/>
              <w:bottom w:val="nil"/>
              <w:right w:val="nil"/>
            </w:tcBorders>
            <w:shd w:val="clear" w:color="000000" w:fill="FFFFFF"/>
            <w:noWrap/>
            <w:vAlign w:val="center"/>
            <w:hideMark/>
          </w:tcPr>
          <w:p w14:paraId="1B0C85B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5,677</w:t>
            </w:r>
          </w:p>
        </w:tc>
        <w:tc>
          <w:tcPr>
            <w:tcW w:w="727" w:type="pct"/>
            <w:tcBorders>
              <w:top w:val="nil"/>
              <w:left w:val="nil"/>
              <w:bottom w:val="nil"/>
              <w:right w:val="nil"/>
            </w:tcBorders>
            <w:shd w:val="clear" w:color="000000" w:fill="E6F2FF"/>
            <w:noWrap/>
            <w:vAlign w:val="center"/>
            <w:hideMark/>
          </w:tcPr>
          <w:p w14:paraId="4A73C19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5,407</w:t>
            </w:r>
          </w:p>
        </w:tc>
        <w:tc>
          <w:tcPr>
            <w:tcW w:w="51" w:type="pct"/>
            <w:tcBorders>
              <w:top w:val="nil"/>
              <w:left w:val="nil"/>
              <w:bottom w:val="nil"/>
              <w:right w:val="nil"/>
            </w:tcBorders>
            <w:shd w:val="clear" w:color="auto" w:fill="auto"/>
            <w:noWrap/>
            <w:vAlign w:val="center"/>
            <w:hideMark/>
          </w:tcPr>
          <w:p w14:paraId="55D7539D"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0AF94FD" w14:textId="740747B8"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270</w:t>
            </w:r>
          </w:p>
        </w:tc>
        <w:tc>
          <w:tcPr>
            <w:tcW w:w="657" w:type="pct"/>
            <w:tcBorders>
              <w:top w:val="nil"/>
              <w:left w:val="nil"/>
              <w:bottom w:val="nil"/>
              <w:right w:val="nil"/>
            </w:tcBorders>
            <w:shd w:val="clear" w:color="auto" w:fill="auto"/>
            <w:noWrap/>
            <w:vAlign w:val="center"/>
            <w:hideMark/>
          </w:tcPr>
          <w:p w14:paraId="2AF3776B" w14:textId="713B5E9E" w:rsidR="001A4CA0" w:rsidRPr="00966BD4" w:rsidRDefault="001B77CF" w:rsidP="001A4CA0">
            <w:pPr>
              <w:spacing w:before="0" w:after="0" w:line="240" w:lineRule="auto"/>
              <w:jc w:val="right"/>
              <w:rPr>
                <w:rFonts w:ascii="Arial" w:hAnsi="Arial" w:cs="Arial"/>
                <w:sz w:val="16"/>
                <w:szCs w:val="16"/>
              </w:rPr>
            </w:pPr>
            <w:r>
              <w:rPr>
                <w:rFonts w:ascii="Arial" w:hAnsi="Arial" w:cs="Arial"/>
                <w:sz w:val="16"/>
                <w:szCs w:val="16"/>
              </w:rPr>
              <w:noBreakHyphen/>
            </w:r>
            <w:r w:rsidR="001A4CA0" w:rsidRPr="00966BD4">
              <w:rPr>
                <w:rFonts w:ascii="Arial" w:hAnsi="Arial" w:cs="Arial"/>
                <w:sz w:val="16"/>
                <w:szCs w:val="16"/>
              </w:rPr>
              <w:t>4.8</w:t>
            </w:r>
          </w:p>
        </w:tc>
      </w:tr>
      <w:tr w:rsidR="001A4CA0" w:rsidRPr="00966BD4" w14:paraId="6A141F6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7A8CB675" w14:textId="459DBE7C" w:rsidR="001A4CA0" w:rsidRPr="00966BD4" w:rsidRDefault="001A4CA0" w:rsidP="001A4CA0">
            <w:pPr>
              <w:spacing w:before="0" w:after="0" w:line="240" w:lineRule="auto"/>
              <w:rPr>
                <w:rFonts w:ascii="Arial" w:hAnsi="Arial" w:cs="Arial"/>
                <w:sz w:val="16"/>
                <w:szCs w:val="16"/>
              </w:rPr>
            </w:pPr>
            <w:r w:rsidRPr="00966BD4">
              <w:rPr>
                <w:rFonts w:ascii="Arial" w:hAnsi="Arial" w:cs="Arial"/>
                <w:sz w:val="16"/>
                <w:szCs w:val="16"/>
              </w:rPr>
              <w:t>Other non</w:t>
            </w:r>
            <w:r w:rsidR="001B77CF">
              <w:rPr>
                <w:rFonts w:ascii="Arial" w:hAnsi="Arial" w:cs="Arial"/>
                <w:sz w:val="16"/>
                <w:szCs w:val="16"/>
              </w:rPr>
              <w:noBreakHyphen/>
            </w:r>
            <w:r w:rsidRPr="00966BD4">
              <w:rPr>
                <w:rFonts w:ascii="Arial" w:hAnsi="Arial" w:cs="Arial"/>
                <w:sz w:val="16"/>
                <w:szCs w:val="16"/>
              </w:rPr>
              <w:t>taxation receipts</w:t>
            </w:r>
          </w:p>
        </w:tc>
        <w:tc>
          <w:tcPr>
            <w:tcW w:w="727" w:type="pct"/>
            <w:tcBorders>
              <w:top w:val="nil"/>
              <w:left w:val="nil"/>
              <w:bottom w:val="nil"/>
              <w:right w:val="nil"/>
            </w:tcBorders>
            <w:shd w:val="clear" w:color="000000" w:fill="FFFFFF"/>
            <w:noWrap/>
            <w:vAlign w:val="center"/>
            <w:hideMark/>
          </w:tcPr>
          <w:p w14:paraId="03409627"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14,869</w:t>
            </w:r>
          </w:p>
        </w:tc>
        <w:tc>
          <w:tcPr>
            <w:tcW w:w="727" w:type="pct"/>
            <w:tcBorders>
              <w:top w:val="nil"/>
              <w:left w:val="nil"/>
              <w:bottom w:val="nil"/>
              <w:right w:val="nil"/>
            </w:tcBorders>
            <w:shd w:val="clear" w:color="000000" w:fill="E6F2FF"/>
            <w:noWrap/>
            <w:vAlign w:val="center"/>
            <w:hideMark/>
          </w:tcPr>
          <w:p w14:paraId="5FCCFC28"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16,820</w:t>
            </w:r>
          </w:p>
        </w:tc>
        <w:tc>
          <w:tcPr>
            <w:tcW w:w="51" w:type="pct"/>
            <w:tcBorders>
              <w:top w:val="nil"/>
              <w:left w:val="nil"/>
              <w:bottom w:val="nil"/>
              <w:right w:val="nil"/>
            </w:tcBorders>
            <w:shd w:val="clear" w:color="auto" w:fill="auto"/>
            <w:noWrap/>
            <w:vAlign w:val="center"/>
            <w:hideMark/>
          </w:tcPr>
          <w:p w14:paraId="55F267E5" w14:textId="77777777" w:rsidR="001A4CA0" w:rsidRPr="00966BD4" w:rsidRDefault="001A4CA0" w:rsidP="001A4CA0">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F88931C"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1,952</w:t>
            </w:r>
          </w:p>
        </w:tc>
        <w:tc>
          <w:tcPr>
            <w:tcW w:w="657" w:type="pct"/>
            <w:tcBorders>
              <w:top w:val="nil"/>
              <w:left w:val="nil"/>
              <w:bottom w:val="nil"/>
              <w:right w:val="nil"/>
            </w:tcBorders>
            <w:shd w:val="clear" w:color="auto" w:fill="auto"/>
            <w:noWrap/>
            <w:vAlign w:val="center"/>
            <w:hideMark/>
          </w:tcPr>
          <w:p w14:paraId="4580679F" w14:textId="77777777" w:rsidR="001A4CA0" w:rsidRPr="00966BD4" w:rsidRDefault="001A4CA0" w:rsidP="001A4CA0">
            <w:pPr>
              <w:spacing w:before="0" w:after="0" w:line="240" w:lineRule="auto"/>
              <w:jc w:val="right"/>
              <w:rPr>
                <w:rFonts w:ascii="Arial" w:hAnsi="Arial" w:cs="Arial"/>
                <w:sz w:val="16"/>
                <w:szCs w:val="16"/>
              </w:rPr>
            </w:pPr>
            <w:r w:rsidRPr="00966BD4">
              <w:rPr>
                <w:rFonts w:ascii="Arial" w:hAnsi="Arial" w:cs="Arial"/>
                <w:sz w:val="16"/>
                <w:szCs w:val="16"/>
              </w:rPr>
              <w:t>13.1</w:t>
            </w:r>
          </w:p>
        </w:tc>
      </w:tr>
      <w:tr w:rsidR="001A4CA0" w:rsidRPr="00966BD4" w14:paraId="66C30FE9"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10631DA" w14:textId="0072959D"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Non</w:t>
            </w:r>
            <w:r w:rsidR="001B77CF">
              <w:rPr>
                <w:rFonts w:ascii="Arial" w:hAnsi="Arial" w:cs="Arial"/>
                <w:b/>
                <w:sz w:val="16"/>
                <w:szCs w:val="16"/>
              </w:rPr>
              <w:noBreakHyphen/>
            </w:r>
            <w:r w:rsidRPr="00966BD4">
              <w:rPr>
                <w:rFonts w:ascii="Arial" w:hAnsi="Arial" w:cs="Arial"/>
                <w:b/>
                <w:sz w:val="16"/>
                <w:szCs w:val="16"/>
              </w:rPr>
              <w:t>taxation receipts</w:t>
            </w:r>
          </w:p>
        </w:tc>
        <w:tc>
          <w:tcPr>
            <w:tcW w:w="727" w:type="pct"/>
            <w:tcBorders>
              <w:top w:val="single" w:sz="4" w:space="0" w:color="293F5B"/>
              <w:left w:val="nil"/>
              <w:bottom w:val="nil"/>
              <w:right w:val="nil"/>
            </w:tcBorders>
            <w:shd w:val="clear" w:color="000000" w:fill="FFFFFF"/>
            <w:noWrap/>
            <w:vAlign w:val="center"/>
            <w:hideMark/>
          </w:tcPr>
          <w:p w14:paraId="05B333D8"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44,371</w:t>
            </w:r>
          </w:p>
        </w:tc>
        <w:tc>
          <w:tcPr>
            <w:tcW w:w="727" w:type="pct"/>
            <w:tcBorders>
              <w:top w:val="single" w:sz="4" w:space="0" w:color="293F5B"/>
              <w:left w:val="nil"/>
              <w:bottom w:val="nil"/>
              <w:right w:val="nil"/>
            </w:tcBorders>
            <w:shd w:val="clear" w:color="000000" w:fill="E6F2FF"/>
            <w:noWrap/>
            <w:vAlign w:val="center"/>
            <w:hideMark/>
          </w:tcPr>
          <w:p w14:paraId="46D8890F"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47,543</w:t>
            </w:r>
          </w:p>
        </w:tc>
        <w:tc>
          <w:tcPr>
            <w:tcW w:w="51" w:type="pct"/>
            <w:tcBorders>
              <w:top w:val="nil"/>
              <w:left w:val="nil"/>
              <w:bottom w:val="nil"/>
              <w:right w:val="nil"/>
            </w:tcBorders>
            <w:shd w:val="clear" w:color="auto" w:fill="auto"/>
            <w:noWrap/>
            <w:vAlign w:val="center"/>
            <w:hideMark/>
          </w:tcPr>
          <w:p w14:paraId="7C0EE900" w14:textId="77777777" w:rsidR="001A4CA0" w:rsidRPr="00966BD4" w:rsidRDefault="001A4CA0" w:rsidP="001A4CA0">
            <w:pPr>
              <w:spacing w:before="0" w:after="0" w:line="240" w:lineRule="auto"/>
              <w:jc w:val="right"/>
              <w:rPr>
                <w:rFonts w:ascii="Arial" w:hAnsi="Arial" w:cs="Arial"/>
                <w:b/>
                <w:sz w:val="16"/>
                <w:szCs w:val="16"/>
              </w:rPr>
            </w:pPr>
          </w:p>
        </w:tc>
        <w:tc>
          <w:tcPr>
            <w:tcW w:w="657" w:type="pct"/>
            <w:tcBorders>
              <w:top w:val="single" w:sz="4" w:space="0" w:color="293F5B"/>
              <w:left w:val="nil"/>
              <w:bottom w:val="nil"/>
              <w:right w:val="nil"/>
            </w:tcBorders>
            <w:shd w:val="clear" w:color="auto" w:fill="auto"/>
            <w:noWrap/>
            <w:vAlign w:val="center"/>
            <w:hideMark/>
          </w:tcPr>
          <w:p w14:paraId="630D9C0F"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3,172</w:t>
            </w:r>
          </w:p>
        </w:tc>
        <w:tc>
          <w:tcPr>
            <w:tcW w:w="657" w:type="pct"/>
            <w:tcBorders>
              <w:top w:val="single" w:sz="4" w:space="0" w:color="293F5B"/>
              <w:left w:val="nil"/>
              <w:bottom w:val="nil"/>
              <w:right w:val="nil"/>
            </w:tcBorders>
            <w:shd w:val="clear" w:color="auto" w:fill="auto"/>
            <w:noWrap/>
            <w:vAlign w:val="center"/>
            <w:hideMark/>
          </w:tcPr>
          <w:p w14:paraId="1C28DD6B"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7.1</w:t>
            </w:r>
          </w:p>
        </w:tc>
      </w:tr>
      <w:tr w:rsidR="001A4CA0" w:rsidRPr="00966BD4" w14:paraId="3F04A311" w14:textId="77777777" w:rsidTr="001A4CA0">
        <w:trPr>
          <w:trHeight w:hRule="exact" w:val="225"/>
        </w:trPr>
        <w:tc>
          <w:tcPr>
            <w:tcW w:w="2182" w:type="pct"/>
            <w:tcBorders>
              <w:top w:val="nil"/>
              <w:left w:val="nil"/>
              <w:bottom w:val="single" w:sz="4" w:space="0" w:color="293F5B"/>
              <w:right w:val="nil"/>
            </w:tcBorders>
            <w:shd w:val="clear" w:color="auto" w:fill="auto"/>
            <w:noWrap/>
            <w:vAlign w:val="center"/>
            <w:hideMark/>
          </w:tcPr>
          <w:p w14:paraId="644646C4"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Total receipts</w:t>
            </w:r>
          </w:p>
        </w:tc>
        <w:tc>
          <w:tcPr>
            <w:tcW w:w="727" w:type="pct"/>
            <w:tcBorders>
              <w:top w:val="nil"/>
              <w:left w:val="nil"/>
              <w:bottom w:val="single" w:sz="4" w:space="0" w:color="293F5B"/>
              <w:right w:val="nil"/>
            </w:tcBorders>
            <w:shd w:val="clear" w:color="000000" w:fill="FFFFFF"/>
            <w:noWrap/>
            <w:vAlign w:val="center"/>
            <w:hideMark/>
          </w:tcPr>
          <w:p w14:paraId="7715C755"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607,229</w:t>
            </w:r>
          </w:p>
        </w:tc>
        <w:tc>
          <w:tcPr>
            <w:tcW w:w="727" w:type="pct"/>
            <w:tcBorders>
              <w:top w:val="nil"/>
              <w:left w:val="nil"/>
              <w:bottom w:val="single" w:sz="4" w:space="0" w:color="293F5B"/>
              <w:right w:val="nil"/>
            </w:tcBorders>
            <w:shd w:val="clear" w:color="000000" w:fill="E6F2FF"/>
            <w:noWrap/>
            <w:vAlign w:val="center"/>
            <w:hideMark/>
          </w:tcPr>
          <w:p w14:paraId="198D0AEE"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635,593</w:t>
            </w:r>
          </w:p>
        </w:tc>
        <w:tc>
          <w:tcPr>
            <w:tcW w:w="51" w:type="pct"/>
            <w:tcBorders>
              <w:top w:val="nil"/>
              <w:left w:val="nil"/>
              <w:bottom w:val="single" w:sz="4" w:space="0" w:color="293F5B"/>
              <w:right w:val="nil"/>
            </w:tcBorders>
            <w:shd w:val="clear" w:color="auto" w:fill="auto"/>
            <w:noWrap/>
            <w:vAlign w:val="center"/>
            <w:hideMark/>
          </w:tcPr>
          <w:p w14:paraId="52E91A76"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657" w:type="pct"/>
            <w:tcBorders>
              <w:top w:val="nil"/>
              <w:left w:val="nil"/>
              <w:bottom w:val="single" w:sz="4" w:space="0" w:color="293F5B"/>
              <w:right w:val="nil"/>
            </w:tcBorders>
            <w:shd w:val="clear" w:color="auto" w:fill="auto"/>
            <w:noWrap/>
            <w:vAlign w:val="center"/>
            <w:hideMark/>
          </w:tcPr>
          <w:p w14:paraId="53A8FE14"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28,364</w:t>
            </w:r>
          </w:p>
        </w:tc>
        <w:tc>
          <w:tcPr>
            <w:tcW w:w="657" w:type="pct"/>
            <w:tcBorders>
              <w:top w:val="nil"/>
              <w:left w:val="nil"/>
              <w:bottom w:val="single" w:sz="4" w:space="0" w:color="293F5B"/>
              <w:right w:val="nil"/>
            </w:tcBorders>
            <w:shd w:val="clear" w:color="auto" w:fill="auto"/>
            <w:noWrap/>
            <w:vAlign w:val="center"/>
            <w:hideMark/>
          </w:tcPr>
          <w:p w14:paraId="15281D9C"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4.7</w:t>
            </w:r>
          </w:p>
        </w:tc>
      </w:tr>
      <w:tr w:rsidR="001A4CA0" w:rsidRPr="00966BD4" w14:paraId="2132FC3B"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FF0A243" w14:textId="77777777" w:rsidR="001A4CA0" w:rsidRPr="00966BD4" w:rsidRDefault="001A4CA0" w:rsidP="001A4CA0">
            <w:pPr>
              <w:spacing w:before="0" w:after="0" w:line="240" w:lineRule="auto"/>
              <w:rPr>
                <w:rFonts w:ascii="Arial" w:hAnsi="Arial" w:cs="Arial"/>
                <w:i/>
                <w:sz w:val="16"/>
                <w:szCs w:val="16"/>
              </w:rPr>
            </w:pPr>
            <w:r w:rsidRPr="00966BD4">
              <w:rPr>
                <w:rFonts w:ascii="Arial" w:hAnsi="Arial" w:cs="Arial"/>
                <w:i/>
                <w:sz w:val="16"/>
                <w:szCs w:val="16"/>
              </w:rPr>
              <w:t>Memorandum:</w:t>
            </w:r>
          </w:p>
        </w:tc>
        <w:tc>
          <w:tcPr>
            <w:tcW w:w="727" w:type="pct"/>
            <w:tcBorders>
              <w:top w:val="nil"/>
              <w:left w:val="nil"/>
              <w:bottom w:val="nil"/>
              <w:right w:val="nil"/>
            </w:tcBorders>
            <w:shd w:val="clear" w:color="000000" w:fill="FFFFFF"/>
            <w:noWrap/>
            <w:vAlign w:val="center"/>
            <w:hideMark/>
          </w:tcPr>
          <w:p w14:paraId="3D8DAB13" w14:textId="77777777" w:rsidR="001A4CA0" w:rsidRPr="00966BD4" w:rsidRDefault="001A4CA0" w:rsidP="001A4CA0">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727" w:type="pct"/>
            <w:tcBorders>
              <w:top w:val="nil"/>
              <w:left w:val="nil"/>
              <w:bottom w:val="nil"/>
              <w:right w:val="nil"/>
            </w:tcBorders>
            <w:shd w:val="clear" w:color="000000" w:fill="E6F2FF"/>
            <w:noWrap/>
            <w:vAlign w:val="center"/>
            <w:hideMark/>
          </w:tcPr>
          <w:p w14:paraId="7EE8BD5B" w14:textId="77777777" w:rsidR="001A4CA0" w:rsidRPr="00966BD4" w:rsidRDefault="001A4CA0" w:rsidP="001A4CA0">
            <w:pPr>
              <w:spacing w:before="0" w:after="0" w:line="240" w:lineRule="auto"/>
              <w:rPr>
                <w:rFonts w:ascii="Arial" w:hAnsi="Arial" w:cs="Arial"/>
                <w:b/>
                <w:sz w:val="16"/>
                <w:szCs w:val="16"/>
              </w:rPr>
            </w:pPr>
            <w:r w:rsidRPr="00966BD4">
              <w:rPr>
                <w:rFonts w:ascii="Arial" w:hAnsi="Arial" w:cs="Arial"/>
                <w:b/>
                <w:sz w:val="16"/>
                <w:szCs w:val="16"/>
              </w:rPr>
              <w:t> </w:t>
            </w:r>
          </w:p>
        </w:tc>
        <w:tc>
          <w:tcPr>
            <w:tcW w:w="51" w:type="pct"/>
            <w:tcBorders>
              <w:top w:val="nil"/>
              <w:left w:val="nil"/>
              <w:bottom w:val="nil"/>
              <w:right w:val="nil"/>
            </w:tcBorders>
            <w:shd w:val="clear" w:color="auto" w:fill="auto"/>
            <w:noWrap/>
            <w:vAlign w:val="center"/>
            <w:hideMark/>
          </w:tcPr>
          <w:p w14:paraId="41B55ADF" w14:textId="77777777" w:rsidR="001A4CA0" w:rsidRPr="00966BD4" w:rsidRDefault="001A4CA0" w:rsidP="001A4CA0">
            <w:pPr>
              <w:spacing w:before="0" w:after="0" w:line="240" w:lineRule="auto"/>
              <w:rPr>
                <w:rFonts w:ascii="Arial" w:hAnsi="Arial" w:cs="Arial"/>
                <w:b/>
                <w:sz w:val="16"/>
                <w:szCs w:val="16"/>
              </w:rPr>
            </w:pPr>
          </w:p>
        </w:tc>
        <w:tc>
          <w:tcPr>
            <w:tcW w:w="657" w:type="pct"/>
            <w:tcBorders>
              <w:top w:val="nil"/>
              <w:left w:val="nil"/>
              <w:bottom w:val="nil"/>
              <w:right w:val="nil"/>
            </w:tcBorders>
            <w:shd w:val="clear" w:color="auto" w:fill="auto"/>
            <w:noWrap/>
            <w:vAlign w:val="center"/>
            <w:hideMark/>
          </w:tcPr>
          <w:p w14:paraId="656BFEF1" w14:textId="77777777" w:rsidR="001A4CA0" w:rsidRPr="00966BD4" w:rsidRDefault="001A4CA0" w:rsidP="001A4CA0">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7B204CE6" w14:textId="77777777" w:rsidR="001A4CA0" w:rsidRPr="00966BD4" w:rsidRDefault="001A4CA0" w:rsidP="001A4CA0">
            <w:pPr>
              <w:spacing w:before="0" w:after="0" w:line="240" w:lineRule="auto"/>
              <w:jc w:val="right"/>
              <w:rPr>
                <w:rFonts w:ascii="Times New Roman" w:hAnsi="Times New Roman"/>
                <w:sz w:val="20"/>
              </w:rPr>
            </w:pPr>
          </w:p>
        </w:tc>
      </w:tr>
      <w:tr w:rsidR="001A4CA0" w:rsidRPr="00966BD4" w14:paraId="3314509F" w14:textId="77777777" w:rsidTr="001A4CA0">
        <w:trPr>
          <w:trHeight w:hRule="exact" w:val="225"/>
        </w:trPr>
        <w:tc>
          <w:tcPr>
            <w:tcW w:w="2182" w:type="pct"/>
            <w:tcBorders>
              <w:top w:val="nil"/>
              <w:left w:val="nil"/>
              <w:bottom w:val="nil"/>
              <w:right w:val="nil"/>
            </w:tcBorders>
            <w:shd w:val="clear" w:color="auto" w:fill="auto"/>
            <w:noWrap/>
            <w:vAlign w:val="center"/>
            <w:hideMark/>
          </w:tcPr>
          <w:p w14:paraId="3C0333D5" w14:textId="77777777" w:rsidR="001A4CA0" w:rsidRPr="00966BD4" w:rsidRDefault="001A4CA0" w:rsidP="001A4CA0">
            <w:pPr>
              <w:spacing w:before="0" w:after="0" w:line="240" w:lineRule="auto"/>
              <w:ind w:left="170"/>
              <w:rPr>
                <w:rFonts w:ascii="Arial" w:hAnsi="Arial" w:cs="Arial"/>
                <w:i/>
                <w:sz w:val="16"/>
                <w:szCs w:val="16"/>
              </w:rPr>
            </w:pPr>
            <w:r w:rsidRPr="00966BD4">
              <w:rPr>
                <w:rFonts w:ascii="Arial" w:hAnsi="Arial" w:cs="Arial"/>
                <w:i/>
                <w:sz w:val="16"/>
                <w:szCs w:val="16"/>
              </w:rPr>
              <w:t xml:space="preserve">Total excise </w:t>
            </w:r>
          </w:p>
        </w:tc>
        <w:tc>
          <w:tcPr>
            <w:tcW w:w="727" w:type="pct"/>
            <w:tcBorders>
              <w:top w:val="nil"/>
              <w:left w:val="nil"/>
              <w:bottom w:val="nil"/>
              <w:right w:val="nil"/>
            </w:tcBorders>
            <w:shd w:val="clear" w:color="auto" w:fill="auto"/>
            <w:noWrap/>
            <w:vAlign w:val="center"/>
            <w:hideMark/>
          </w:tcPr>
          <w:p w14:paraId="61E84865"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25,990</w:t>
            </w:r>
          </w:p>
        </w:tc>
        <w:tc>
          <w:tcPr>
            <w:tcW w:w="727" w:type="pct"/>
            <w:tcBorders>
              <w:top w:val="nil"/>
              <w:left w:val="nil"/>
              <w:bottom w:val="nil"/>
              <w:right w:val="nil"/>
            </w:tcBorders>
            <w:shd w:val="clear" w:color="000000" w:fill="E6F2FF"/>
            <w:noWrap/>
            <w:vAlign w:val="center"/>
            <w:hideMark/>
          </w:tcPr>
          <w:p w14:paraId="272E389D"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26,070</w:t>
            </w:r>
          </w:p>
        </w:tc>
        <w:tc>
          <w:tcPr>
            <w:tcW w:w="51" w:type="pct"/>
            <w:tcBorders>
              <w:top w:val="nil"/>
              <w:left w:val="nil"/>
              <w:bottom w:val="nil"/>
              <w:right w:val="nil"/>
            </w:tcBorders>
            <w:shd w:val="clear" w:color="auto" w:fill="auto"/>
            <w:noWrap/>
            <w:vAlign w:val="center"/>
            <w:hideMark/>
          </w:tcPr>
          <w:p w14:paraId="333EA46B" w14:textId="77777777" w:rsidR="001A4CA0" w:rsidRPr="00966BD4" w:rsidRDefault="001A4CA0" w:rsidP="001A4CA0">
            <w:pPr>
              <w:spacing w:before="0" w:after="0" w:line="240" w:lineRule="auto"/>
              <w:jc w:val="right"/>
              <w:rPr>
                <w:rFonts w:ascii="Arial" w:hAnsi="Arial" w:cs="Arial"/>
                <w:i/>
                <w:sz w:val="16"/>
                <w:szCs w:val="16"/>
              </w:rPr>
            </w:pPr>
          </w:p>
        </w:tc>
        <w:tc>
          <w:tcPr>
            <w:tcW w:w="657" w:type="pct"/>
            <w:tcBorders>
              <w:top w:val="nil"/>
              <w:left w:val="nil"/>
              <w:bottom w:val="nil"/>
              <w:right w:val="nil"/>
            </w:tcBorders>
            <w:shd w:val="clear" w:color="auto" w:fill="auto"/>
            <w:noWrap/>
            <w:vAlign w:val="center"/>
            <w:hideMark/>
          </w:tcPr>
          <w:p w14:paraId="05367E5B"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80</w:t>
            </w:r>
          </w:p>
        </w:tc>
        <w:tc>
          <w:tcPr>
            <w:tcW w:w="657" w:type="pct"/>
            <w:tcBorders>
              <w:top w:val="nil"/>
              <w:left w:val="nil"/>
              <w:bottom w:val="nil"/>
              <w:right w:val="nil"/>
            </w:tcBorders>
            <w:shd w:val="clear" w:color="auto" w:fill="auto"/>
            <w:noWrap/>
            <w:vAlign w:val="center"/>
            <w:hideMark/>
          </w:tcPr>
          <w:p w14:paraId="169A289A"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0.3</w:t>
            </w:r>
          </w:p>
        </w:tc>
      </w:tr>
      <w:tr w:rsidR="001A4CA0" w:rsidRPr="00966BD4" w14:paraId="705E3E13" w14:textId="77777777" w:rsidTr="001A4CA0">
        <w:trPr>
          <w:trHeight w:hRule="exact" w:val="225"/>
        </w:trPr>
        <w:tc>
          <w:tcPr>
            <w:tcW w:w="2182" w:type="pct"/>
            <w:tcBorders>
              <w:top w:val="nil"/>
              <w:left w:val="nil"/>
              <w:bottom w:val="nil"/>
              <w:right w:val="nil"/>
            </w:tcBorders>
            <w:shd w:val="clear" w:color="auto" w:fill="auto"/>
            <w:noWrap/>
            <w:vAlign w:val="center"/>
            <w:hideMark/>
          </w:tcPr>
          <w:p w14:paraId="2D65B1D7" w14:textId="77777777" w:rsidR="001A4CA0" w:rsidRPr="00966BD4" w:rsidRDefault="001A4CA0" w:rsidP="001A4CA0">
            <w:pPr>
              <w:spacing w:before="0" w:after="0" w:line="240" w:lineRule="auto"/>
              <w:ind w:left="170"/>
              <w:rPr>
                <w:rFonts w:ascii="Arial" w:hAnsi="Arial" w:cs="Arial"/>
                <w:i/>
                <w:sz w:val="16"/>
                <w:szCs w:val="16"/>
              </w:rPr>
            </w:pPr>
            <w:r w:rsidRPr="00966BD4">
              <w:rPr>
                <w:rFonts w:ascii="Arial" w:hAnsi="Arial" w:cs="Arial"/>
                <w:i/>
                <w:sz w:val="16"/>
                <w:szCs w:val="16"/>
              </w:rPr>
              <w:t xml:space="preserve">Total customs duty </w:t>
            </w:r>
          </w:p>
        </w:tc>
        <w:tc>
          <w:tcPr>
            <w:tcW w:w="727" w:type="pct"/>
            <w:tcBorders>
              <w:top w:val="nil"/>
              <w:left w:val="nil"/>
              <w:bottom w:val="nil"/>
              <w:right w:val="nil"/>
            </w:tcBorders>
            <w:shd w:val="clear" w:color="auto" w:fill="auto"/>
            <w:noWrap/>
            <w:vAlign w:val="center"/>
            <w:hideMark/>
          </w:tcPr>
          <w:p w14:paraId="316442EC"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16,820</w:t>
            </w:r>
          </w:p>
        </w:tc>
        <w:tc>
          <w:tcPr>
            <w:tcW w:w="727" w:type="pct"/>
            <w:tcBorders>
              <w:top w:val="nil"/>
              <w:left w:val="nil"/>
              <w:bottom w:val="nil"/>
              <w:right w:val="nil"/>
            </w:tcBorders>
            <w:shd w:val="clear" w:color="000000" w:fill="E6F2FF"/>
            <w:noWrap/>
            <w:vAlign w:val="center"/>
            <w:hideMark/>
          </w:tcPr>
          <w:p w14:paraId="6E682BF4"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17,180</w:t>
            </w:r>
          </w:p>
        </w:tc>
        <w:tc>
          <w:tcPr>
            <w:tcW w:w="51" w:type="pct"/>
            <w:tcBorders>
              <w:top w:val="nil"/>
              <w:left w:val="nil"/>
              <w:bottom w:val="nil"/>
              <w:right w:val="nil"/>
            </w:tcBorders>
            <w:shd w:val="clear" w:color="auto" w:fill="auto"/>
            <w:noWrap/>
            <w:vAlign w:val="center"/>
            <w:hideMark/>
          </w:tcPr>
          <w:p w14:paraId="2D6B0FC6" w14:textId="77777777" w:rsidR="001A4CA0" w:rsidRPr="00966BD4" w:rsidRDefault="001A4CA0" w:rsidP="001A4CA0">
            <w:pPr>
              <w:spacing w:before="0" w:after="0" w:line="240" w:lineRule="auto"/>
              <w:jc w:val="right"/>
              <w:rPr>
                <w:rFonts w:ascii="Arial" w:hAnsi="Arial" w:cs="Arial"/>
                <w:i/>
                <w:sz w:val="16"/>
                <w:szCs w:val="16"/>
              </w:rPr>
            </w:pPr>
          </w:p>
        </w:tc>
        <w:tc>
          <w:tcPr>
            <w:tcW w:w="657" w:type="pct"/>
            <w:tcBorders>
              <w:top w:val="nil"/>
              <w:left w:val="nil"/>
              <w:bottom w:val="nil"/>
              <w:right w:val="nil"/>
            </w:tcBorders>
            <w:shd w:val="clear" w:color="auto" w:fill="auto"/>
            <w:noWrap/>
            <w:vAlign w:val="center"/>
            <w:hideMark/>
          </w:tcPr>
          <w:p w14:paraId="7F48FA90"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360</w:t>
            </w:r>
          </w:p>
        </w:tc>
        <w:tc>
          <w:tcPr>
            <w:tcW w:w="657" w:type="pct"/>
            <w:tcBorders>
              <w:top w:val="nil"/>
              <w:left w:val="nil"/>
              <w:bottom w:val="nil"/>
              <w:right w:val="nil"/>
            </w:tcBorders>
            <w:shd w:val="clear" w:color="auto" w:fill="auto"/>
            <w:noWrap/>
            <w:vAlign w:val="center"/>
            <w:hideMark/>
          </w:tcPr>
          <w:p w14:paraId="2DC16C23"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2.1</w:t>
            </w:r>
          </w:p>
        </w:tc>
      </w:tr>
      <w:tr w:rsidR="001A4CA0" w:rsidRPr="00966BD4" w14:paraId="4D32CFF0" w14:textId="77777777" w:rsidTr="001A4CA0">
        <w:trPr>
          <w:trHeight w:hRule="exact" w:val="225"/>
        </w:trPr>
        <w:tc>
          <w:tcPr>
            <w:tcW w:w="2182" w:type="pct"/>
            <w:tcBorders>
              <w:top w:val="nil"/>
              <w:left w:val="nil"/>
              <w:bottom w:val="single" w:sz="4" w:space="0" w:color="293F5B"/>
              <w:right w:val="nil"/>
            </w:tcBorders>
            <w:shd w:val="clear" w:color="auto" w:fill="auto"/>
            <w:noWrap/>
            <w:vAlign w:val="center"/>
            <w:hideMark/>
          </w:tcPr>
          <w:p w14:paraId="6A80440E" w14:textId="77777777" w:rsidR="001A4CA0" w:rsidRPr="00966BD4" w:rsidRDefault="001A4CA0" w:rsidP="001A4CA0">
            <w:pPr>
              <w:spacing w:before="0" w:after="0" w:line="240" w:lineRule="auto"/>
              <w:ind w:left="170"/>
              <w:rPr>
                <w:rFonts w:ascii="Arial" w:hAnsi="Arial" w:cs="Arial"/>
                <w:i/>
                <w:sz w:val="16"/>
                <w:szCs w:val="16"/>
              </w:rPr>
            </w:pPr>
            <w:r w:rsidRPr="00966BD4">
              <w:rPr>
                <w:rFonts w:ascii="Arial" w:hAnsi="Arial" w:cs="Arial"/>
                <w:i/>
                <w:sz w:val="16"/>
                <w:szCs w:val="16"/>
              </w:rPr>
              <w:t>Capital gains tax(c)</w:t>
            </w:r>
          </w:p>
        </w:tc>
        <w:tc>
          <w:tcPr>
            <w:tcW w:w="727" w:type="pct"/>
            <w:tcBorders>
              <w:top w:val="nil"/>
              <w:left w:val="nil"/>
              <w:bottom w:val="single" w:sz="4" w:space="0" w:color="293F5B"/>
              <w:right w:val="nil"/>
            </w:tcBorders>
            <w:shd w:val="clear" w:color="000000" w:fill="FFFFFF"/>
            <w:noWrap/>
            <w:vAlign w:val="center"/>
            <w:hideMark/>
          </w:tcPr>
          <w:p w14:paraId="55BFAF51"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21,900</w:t>
            </w:r>
          </w:p>
        </w:tc>
        <w:tc>
          <w:tcPr>
            <w:tcW w:w="727" w:type="pct"/>
            <w:tcBorders>
              <w:top w:val="nil"/>
              <w:left w:val="nil"/>
              <w:bottom w:val="single" w:sz="4" w:space="0" w:color="293F5B"/>
              <w:right w:val="nil"/>
            </w:tcBorders>
            <w:shd w:val="clear" w:color="000000" w:fill="E6F2FF"/>
            <w:noWrap/>
            <w:vAlign w:val="center"/>
            <w:hideMark/>
          </w:tcPr>
          <w:p w14:paraId="35B59549"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28,600</w:t>
            </w:r>
          </w:p>
        </w:tc>
        <w:tc>
          <w:tcPr>
            <w:tcW w:w="51" w:type="pct"/>
            <w:tcBorders>
              <w:top w:val="nil"/>
              <w:left w:val="nil"/>
              <w:bottom w:val="single" w:sz="4" w:space="0" w:color="293F5B"/>
              <w:right w:val="nil"/>
            </w:tcBorders>
            <w:shd w:val="clear" w:color="auto" w:fill="auto"/>
            <w:noWrap/>
            <w:vAlign w:val="center"/>
            <w:hideMark/>
          </w:tcPr>
          <w:p w14:paraId="122CE9B7"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 </w:t>
            </w:r>
          </w:p>
        </w:tc>
        <w:tc>
          <w:tcPr>
            <w:tcW w:w="657" w:type="pct"/>
            <w:tcBorders>
              <w:top w:val="nil"/>
              <w:left w:val="nil"/>
              <w:bottom w:val="single" w:sz="4" w:space="0" w:color="293F5B"/>
              <w:right w:val="nil"/>
            </w:tcBorders>
            <w:shd w:val="clear" w:color="auto" w:fill="auto"/>
            <w:noWrap/>
            <w:vAlign w:val="center"/>
            <w:hideMark/>
          </w:tcPr>
          <w:p w14:paraId="600EBCF0"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6,700</w:t>
            </w:r>
          </w:p>
        </w:tc>
        <w:tc>
          <w:tcPr>
            <w:tcW w:w="657" w:type="pct"/>
            <w:tcBorders>
              <w:top w:val="nil"/>
              <w:left w:val="nil"/>
              <w:bottom w:val="single" w:sz="4" w:space="0" w:color="293F5B"/>
              <w:right w:val="nil"/>
            </w:tcBorders>
            <w:shd w:val="clear" w:color="auto" w:fill="auto"/>
            <w:noWrap/>
            <w:vAlign w:val="center"/>
            <w:hideMark/>
          </w:tcPr>
          <w:p w14:paraId="30732A84" w14:textId="77777777" w:rsidR="001A4CA0" w:rsidRPr="00966BD4" w:rsidRDefault="001A4CA0" w:rsidP="001A4CA0">
            <w:pPr>
              <w:spacing w:before="0" w:after="0" w:line="240" w:lineRule="auto"/>
              <w:jc w:val="right"/>
              <w:rPr>
                <w:rFonts w:ascii="Arial" w:hAnsi="Arial" w:cs="Arial"/>
                <w:i/>
                <w:sz w:val="16"/>
                <w:szCs w:val="16"/>
              </w:rPr>
            </w:pPr>
            <w:r w:rsidRPr="00966BD4">
              <w:rPr>
                <w:rFonts w:ascii="Arial" w:hAnsi="Arial" w:cs="Arial"/>
                <w:i/>
                <w:sz w:val="16"/>
                <w:szCs w:val="16"/>
              </w:rPr>
              <w:t>30.6</w:t>
            </w:r>
          </w:p>
        </w:tc>
      </w:tr>
    </w:tbl>
    <w:p w14:paraId="594EE08B" w14:textId="0CBAA8D6" w:rsidR="00FA0070" w:rsidRPr="00966BD4" w:rsidRDefault="001B77CF" w:rsidP="00B27973">
      <w:pPr>
        <w:pStyle w:val="ChartandTableFootnoteAlpha"/>
        <w:numPr>
          <w:ilvl w:val="0"/>
          <w:numId w:val="26"/>
        </w:numPr>
        <w:rPr>
          <w:color w:val="auto"/>
        </w:rPr>
      </w:pPr>
      <w:r>
        <w:rPr>
          <w:color w:val="auto"/>
        </w:rPr>
        <w:t>‘</w:t>
      </w:r>
      <w:r w:rsidR="00FA0070" w:rsidRPr="00966BD4">
        <w:rPr>
          <w:color w:val="auto"/>
        </w:rPr>
        <w:t>Other alcoholic beverages</w:t>
      </w:r>
      <w:r>
        <w:rPr>
          <w:color w:val="auto"/>
        </w:rPr>
        <w:t>’</w:t>
      </w:r>
      <w:r w:rsidR="00FA0070" w:rsidRPr="00966BD4">
        <w:rPr>
          <w:color w:val="auto"/>
        </w:rPr>
        <w:t xml:space="preserve"> are those not exceeding 10 per cent by volume of alcohol (excluding beer, brandy and wine). </w:t>
      </w:r>
    </w:p>
    <w:p w14:paraId="42092AE2" w14:textId="33AA074F" w:rsidR="00FA0070" w:rsidRPr="00966BD4" w:rsidRDefault="00FA0070" w:rsidP="00B472FA">
      <w:pPr>
        <w:pStyle w:val="ChartandTableFootnoteAlpha"/>
        <w:spacing w:before="0"/>
        <w:rPr>
          <w:color w:val="auto"/>
        </w:rPr>
      </w:pPr>
      <w:r w:rsidRPr="00966BD4">
        <w:rPr>
          <w:color w:val="auto"/>
        </w:rPr>
        <w:t>Prior to the 202</w:t>
      </w:r>
      <w:r w:rsidR="00825B55" w:rsidRPr="00966BD4">
        <w:rPr>
          <w:color w:val="auto"/>
        </w:rPr>
        <w:t>2–2</w:t>
      </w:r>
      <w:r w:rsidRPr="00966BD4">
        <w:rPr>
          <w:color w:val="auto"/>
        </w:rPr>
        <w:t xml:space="preserve">3 October Budget, </w:t>
      </w:r>
      <w:r w:rsidR="001B77CF">
        <w:rPr>
          <w:color w:val="auto"/>
        </w:rPr>
        <w:t>‘</w:t>
      </w:r>
      <w:r w:rsidRPr="00966BD4">
        <w:rPr>
          <w:color w:val="auto"/>
        </w:rPr>
        <w:t>visa application charges</w:t>
      </w:r>
      <w:r w:rsidR="001B77CF">
        <w:rPr>
          <w:color w:val="auto"/>
        </w:rPr>
        <w:t>’</w:t>
      </w:r>
      <w:r w:rsidRPr="00966BD4">
        <w:rPr>
          <w:color w:val="auto"/>
        </w:rPr>
        <w:t xml:space="preserve"> were previously included in </w:t>
      </w:r>
      <w:r w:rsidR="001B77CF">
        <w:rPr>
          <w:color w:val="auto"/>
        </w:rPr>
        <w:t>‘</w:t>
      </w:r>
      <w:r w:rsidRPr="00966BD4">
        <w:rPr>
          <w:color w:val="auto"/>
        </w:rPr>
        <w:t xml:space="preserve">other </w:t>
      </w:r>
      <w:proofErr w:type="gramStart"/>
      <w:r w:rsidRPr="00966BD4">
        <w:rPr>
          <w:color w:val="auto"/>
        </w:rPr>
        <w:t>taxes</w:t>
      </w:r>
      <w:r w:rsidR="001B77CF">
        <w:rPr>
          <w:color w:val="auto"/>
        </w:rPr>
        <w:t>’</w:t>
      </w:r>
      <w:proofErr w:type="gramEnd"/>
      <w:r w:rsidRPr="00966BD4">
        <w:rPr>
          <w:color w:val="auto"/>
        </w:rPr>
        <w:t xml:space="preserve">. </w:t>
      </w:r>
    </w:p>
    <w:p w14:paraId="74BEF9A3" w14:textId="411DD8DF" w:rsidR="00FA0070" w:rsidRPr="00966BD4" w:rsidRDefault="001B77CF" w:rsidP="00B472FA">
      <w:pPr>
        <w:pStyle w:val="ChartandTableFootnoteAlpha"/>
        <w:pBdr>
          <w:bottom w:val="single" w:sz="4" w:space="1" w:color="auto"/>
        </w:pBdr>
        <w:spacing w:before="0"/>
        <w:rPr>
          <w:color w:val="auto"/>
        </w:rPr>
      </w:pPr>
      <w:r>
        <w:rPr>
          <w:color w:val="auto"/>
        </w:rPr>
        <w:t>‘</w:t>
      </w:r>
      <w:r w:rsidR="00FA0070" w:rsidRPr="00966BD4">
        <w:rPr>
          <w:color w:val="auto"/>
        </w:rPr>
        <w:t>Capital gains tax</w:t>
      </w:r>
      <w:r>
        <w:rPr>
          <w:color w:val="auto"/>
        </w:rPr>
        <w:t>’</w:t>
      </w:r>
      <w:r w:rsidR="00FA0070" w:rsidRPr="00966BD4">
        <w:rPr>
          <w:color w:val="auto"/>
        </w:rPr>
        <w:t xml:space="preserve"> is part of gross other individuals, company tax and superannuation fund taxes.</w:t>
      </w:r>
    </w:p>
    <w:p w14:paraId="1119D000" w14:textId="563A1168" w:rsidR="0091479B" w:rsidRPr="00966BD4" w:rsidRDefault="001C6F51" w:rsidP="008A7AFC">
      <w:pPr>
        <w:pStyle w:val="TableHeading"/>
        <w:rPr>
          <w:rFonts w:asciiTheme="minorHAnsi" w:eastAsiaTheme="minorHAnsi" w:hAnsiTheme="minorHAnsi" w:cstheme="minorBidi"/>
          <w:b w:val="0"/>
          <w:sz w:val="22"/>
          <w:szCs w:val="22"/>
          <w:lang w:eastAsia="en-US"/>
        </w:rPr>
      </w:pPr>
      <w:r w:rsidRPr="00966BD4">
        <w:br w:type="page"/>
      </w:r>
      <w:r w:rsidR="00FA0070" w:rsidRPr="00966BD4">
        <w:lastRenderedPageBreak/>
        <w:t>Table 5.</w:t>
      </w:r>
      <w:r w:rsidR="00CE07B5" w:rsidRPr="00966BD4">
        <w:t>6</w:t>
      </w:r>
      <w:r w:rsidR="00FA0070" w:rsidRPr="00966BD4">
        <w:t xml:space="preserve">: Reconciliation of </w:t>
      </w:r>
      <w:r w:rsidR="005720E3" w:rsidRPr="00966BD4">
        <w:t>2023</w:t>
      </w:r>
      <w:r w:rsidR="00825B55" w:rsidRPr="00966BD4">
        <w:t>–2</w:t>
      </w:r>
      <w:r w:rsidR="005720E3" w:rsidRPr="00966BD4">
        <w:t>4</w:t>
      </w:r>
      <w:r w:rsidR="00FA0070" w:rsidRPr="00966BD4">
        <w:t xml:space="preserve"> general government (cash) </w:t>
      </w:r>
      <w:r w:rsidR="00864305" w:rsidRPr="00966BD4">
        <w:t>receipt</w:t>
      </w:r>
      <w:r w:rsidR="007D3282" w:rsidRPr="00966BD4">
        <w:t>s</w:t>
      </w:r>
    </w:p>
    <w:tbl>
      <w:tblPr>
        <w:tblW w:w="5000" w:type="pct"/>
        <w:tblCellMar>
          <w:left w:w="0" w:type="dxa"/>
          <w:right w:w="28" w:type="dxa"/>
        </w:tblCellMar>
        <w:tblLook w:val="04A0" w:firstRow="1" w:lastRow="0" w:firstColumn="1" w:lastColumn="0" w:noHBand="0" w:noVBand="1"/>
      </w:tblPr>
      <w:tblGrid>
        <w:gridCol w:w="3306"/>
        <w:gridCol w:w="1149"/>
        <w:gridCol w:w="1063"/>
        <w:gridCol w:w="73"/>
        <w:gridCol w:w="1060"/>
        <w:gridCol w:w="1059"/>
      </w:tblGrid>
      <w:tr w:rsidR="0091479B" w:rsidRPr="00966BD4" w14:paraId="2A64A7DC" w14:textId="77777777" w:rsidTr="0091479B">
        <w:trPr>
          <w:trHeight w:hRule="exact" w:val="225"/>
        </w:trPr>
        <w:tc>
          <w:tcPr>
            <w:tcW w:w="2182" w:type="pct"/>
            <w:tcBorders>
              <w:top w:val="single" w:sz="4" w:space="0" w:color="293F5B"/>
              <w:left w:val="nil"/>
              <w:bottom w:val="nil"/>
              <w:right w:val="nil"/>
            </w:tcBorders>
            <w:shd w:val="clear" w:color="auto" w:fill="auto"/>
            <w:noWrap/>
            <w:vAlign w:val="center"/>
            <w:hideMark/>
          </w:tcPr>
          <w:p w14:paraId="514E4543" w14:textId="1C0F46BF"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 </w:t>
            </w:r>
          </w:p>
        </w:tc>
        <w:tc>
          <w:tcPr>
            <w:tcW w:w="1453" w:type="pct"/>
            <w:gridSpan w:val="2"/>
            <w:tcBorders>
              <w:top w:val="single" w:sz="4" w:space="0" w:color="293F5B"/>
              <w:left w:val="nil"/>
              <w:bottom w:val="nil"/>
              <w:right w:val="nil"/>
            </w:tcBorders>
            <w:shd w:val="clear" w:color="auto" w:fill="auto"/>
            <w:noWrap/>
            <w:vAlign w:val="center"/>
            <w:hideMark/>
          </w:tcPr>
          <w:p w14:paraId="42C407C3" w14:textId="77777777" w:rsidR="0091479B" w:rsidRPr="00966BD4" w:rsidRDefault="0091479B" w:rsidP="0091479B">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1" w:type="pct"/>
            <w:tcBorders>
              <w:top w:val="single" w:sz="4" w:space="0" w:color="293F5B"/>
              <w:left w:val="nil"/>
              <w:bottom w:val="nil"/>
              <w:right w:val="nil"/>
            </w:tcBorders>
            <w:shd w:val="clear" w:color="auto" w:fill="auto"/>
            <w:noWrap/>
            <w:vAlign w:val="center"/>
            <w:hideMark/>
          </w:tcPr>
          <w:p w14:paraId="756A974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 </w:t>
            </w:r>
          </w:p>
        </w:tc>
        <w:tc>
          <w:tcPr>
            <w:tcW w:w="1313" w:type="pct"/>
            <w:gridSpan w:val="2"/>
            <w:tcBorders>
              <w:top w:val="single" w:sz="4" w:space="0" w:color="293F5B"/>
              <w:left w:val="nil"/>
              <w:bottom w:val="nil"/>
              <w:right w:val="nil"/>
            </w:tcBorders>
            <w:shd w:val="clear" w:color="auto" w:fill="auto"/>
            <w:noWrap/>
            <w:vAlign w:val="center"/>
            <w:hideMark/>
          </w:tcPr>
          <w:p w14:paraId="153B98E1" w14:textId="77777777" w:rsidR="0091479B" w:rsidRPr="00966BD4" w:rsidRDefault="0091479B" w:rsidP="0091479B">
            <w:pPr>
              <w:spacing w:before="0" w:after="0" w:line="240" w:lineRule="auto"/>
              <w:jc w:val="center"/>
              <w:rPr>
                <w:rFonts w:ascii="Arial" w:hAnsi="Arial" w:cs="Arial"/>
                <w:sz w:val="16"/>
                <w:szCs w:val="16"/>
              </w:rPr>
            </w:pPr>
            <w:r w:rsidRPr="00966BD4">
              <w:rPr>
                <w:rFonts w:ascii="Arial" w:hAnsi="Arial" w:cs="Arial"/>
                <w:sz w:val="16"/>
                <w:szCs w:val="16"/>
              </w:rPr>
              <w:t>Change from October Budget</w:t>
            </w:r>
          </w:p>
        </w:tc>
      </w:tr>
      <w:tr w:rsidR="0091479B" w:rsidRPr="00966BD4" w14:paraId="04CE5278"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2887EA2" w14:textId="77777777" w:rsidR="0091479B" w:rsidRPr="00966BD4" w:rsidRDefault="0091479B" w:rsidP="0091479B">
            <w:pPr>
              <w:spacing w:before="0" w:after="0" w:line="240" w:lineRule="auto"/>
              <w:jc w:val="center"/>
              <w:rPr>
                <w:rFonts w:ascii="Arial" w:hAnsi="Arial" w:cs="Arial"/>
                <w:sz w:val="16"/>
                <w:szCs w:val="16"/>
              </w:rPr>
            </w:pPr>
          </w:p>
        </w:tc>
        <w:tc>
          <w:tcPr>
            <w:tcW w:w="727" w:type="pct"/>
            <w:tcBorders>
              <w:top w:val="single" w:sz="4" w:space="0" w:color="293F5B"/>
              <w:left w:val="nil"/>
              <w:bottom w:val="nil"/>
              <w:right w:val="nil"/>
            </w:tcBorders>
            <w:shd w:val="clear" w:color="000000" w:fill="FFFFFF"/>
            <w:noWrap/>
            <w:vAlign w:val="center"/>
            <w:hideMark/>
          </w:tcPr>
          <w:p w14:paraId="796EF34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October Budget</w:t>
            </w:r>
          </w:p>
        </w:tc>
        <w:tc>
          <w:tcPr>
            <w:tcW w:w="727" w:type="pct"/>
            <w:tcBorders>
              <w:top w:val="single" w:sz="4" w:space="0" w:color="293F5B"/>
              <w:left w:val="nil"/>
              <w:bottom w:val="nil"/>
              <w:right w:val="nil"/>
            </w:tcBorders>
            <w:shd w:val="clear" w:color="000000" w:fill="E6F2FF"/>
            <w:noWrap/>
            <w:vAlign w:val="center"/>
            <w:hideMark/>
          </w:tcPr>
          <w:p w14:paraId="3077D05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Budget</w:t>
            </w:r>
          </w:p>
        </w:tc>
        <w:tc>
          <w:tcPr>
            <w:tcW w:w="51" w:type="pct"/>
            <w:tcBorders>
              <w:top w:val="nil"/>
              <w:left w:val="nil"/>
              <w:bottom w:val="nil"/>
              <w:right w:val="nil"/>
            </w:tcBorders>
            <w:shd w:val="clear" w:color="auto" w:fill="auto"/>
            <w:noWrap/>
            <w:vAlign w:val="center"/>
            <w:hideMark/>
          </w:tcPr>
          <w:p w14:paraId="7F7FB86C"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61D2F0E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 </w:t>
            </w:r>
          </w:p>
        </w:tc>
        <w:tc>
          <w:tcPr>
            <w:tcW w:w="657" w:type="pct"/>
            <w:tcBorders>
              <w:top w:val="single" w:sz="4" w:space="0" w:color="293F5B"/>
              <w:left w:val="nil"/>
              <w:bottom w:val="nil"/>
              <w:right w:val="nil"/>
            </w:tcBorders>
            <w:shd w:val="clear" w:color="auto" w:fill="auto"/>
            <w:noWrap/>
            <w:vAlign w:val="center"/>
            <w:hideMark/>
          </w:tcPr>
          <w:p w14:paraId="746FEC6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 </w:t>
            </w:r>
          </w:p>
        </w:tc>
      </w:tr>
      <w:tr w:rsidR="0091479B" w:rsidRPr="00966BD4" w14:paraId="1F1905E9" w14:textId="77777777" w:rsidTr="0091479B">
        <w:trPr>
          <w:trHeight w:hRule="exact" w:val="225"/>
        </w:trPr>
        <w:tc>
          <w:tcPr>
            <w:tcW w:w="2182" w:type="pct"/>
            <w:tcBorders>
              <w:top w:val="nil"/>
              <w:left w:val="nil"/>
              <w:bottom w:val="nil"/>
              <w:right w:val="nil"/>
            </w:tcBorders>
            <w:shd w:val="clear" w:color="auto" w:fill="auto"/>
            <w:vAlign w:val="center"/>
            <w:hideMark/>
          </w:tcPr>
          <w:p w14:paraId="7A3E67AF" w14:textId="77777777" w:rsidR="0091479B" w:rsidRPr="00966BD4" w:rsidRDefault="0091479B" w:rsidP="0091479B">
            <w:pPr>
              <w:spacing w:before="0" w:after="0" w:line="240" w:lineRule="auto"/>
              <w:jc w:val="right"/>
              <w:rPr>
                <w:rFonts w:ascii="Arial" w:hAnsi="Arial" w:cs="Arial"/>
                <w:sz w:val="16"/>
                <w:szCs w:val="16"/>
              </w:rPr>
            </w:pPr>
          </w:p>
        </w:tc>
        <w:tc>
          <w:tcPr>
            <w:tcW w:w="727" w:type="pct"/>
            <w:tcBorders>
              <w:top w:val="nil"/>
              <w:left w:val="nil"/>
              <w:bottom w:val="nil"/>
              <w:right w:val="nil"/>
            </w:tcBorders>
            <w:shd w:val="clear" w:color="auto" w:fill="auto"/>
            <w:vAlign w:val="center"/>
            <w:hideMark/>
          </w:tcPr>
          <w:p w14:paraId="471C9737"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$m</w:t>
            </w:r>
          </w:p>
        </w:tc>
        <w:tc>
          <w:tcPr>
            <w:tcW w:w="727" w:type="pct"/>
            <w:tcBorders>
              <w:top w:val="nil"/>
              <w:left w:val="nil"/>
              <w:bottom w:val="nil"/>
              <w:right w:val="nil"/>
            </w:tcBorders>
            <w:shd w:val="clear" w:color="000000" w:fill="E6F2FF"/>
            <w:noWrap/>
            <w:vAlign w:val="center"/>
            <w:hideMark/>
          </w:tcPr>
          <w:p w14:paraId="2EE1EF8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$m</w:t>
            </w:r>
          </w:p>
        </w:tc>
        <w:tc>
          <w:tcPr>
            <w:tcW w:w="51" w:type="pct"/>
            <w:tcBorders>
              <w:top w:val="nil"/>
              <w:left w:val="nil"/>
              <w:bottom w:val="nil"/>
              <w:right w:val="nil"/>
            </w:tcBorders>
            <w:shd w:val="clear" w:color="auto" w:fill="auto"/>
            <w:vAlign w:val="center"/>
            <w:hideMark/>
          </w:tcPr>
          <w:p w14:paraId="2CAEB9A7"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vAlign w:val="center"/>
            <w:hideMark/>
          </w:tcPr>
          <w:p w14:paraId="46150A9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$m</w:t>
            </w:r>
          </w:p>
        </w:tc>
        <w:tc>
          <w:tcPr>
            <w:tcW w:w="657" w:type="pct"/>
            <w:tcBorders>
              <w:top w:val="nil"/>
              <w:left w:val="nil"/>
              <w:bottom w:val="nil"/>
              <w:right w:val="nil"/>
            </w:tcBorders>
            <w:shd w:val="clear" w:color="auto" w:fill="auto"/>
            <w:vAlign w:val="center"/>
            <w:hideMark/>
          </w:tcPr>
          <w:p w14:paraId="304340C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w:t>
            </w:r>
          </w:p>
        </w:tc>
      </w:tr>
      <w:tr w:rsidR="0091479B" w:rsidRPr="00966BD4" w14:paraId="77EA67BD" w14:textId="77777777" w:rsidTr="0091479B">
        <w:trPr>
          <w:trHeight w:hRule="exact" w:val="225"/>
        </w:trPr>
        <w:tc>
          <w:tcPr>
            <w:tcW w:w="2182" w:type="pct"/>
            <w:tcBorders>
              <w:top w:val="nil"/>
              <w:left w:val="nil"/>
              <w:bottom w:val="nil"/>
              <w:right w:val="nil"/>
            </w:tcBorders>
            <w:shd w:val="clear" w:color="auto" w:fill="auto"/>
            <w:noWrap/>
            <w:vAlign w:val="center"/>
            <w:hideMark/>
          </w:tcPr>
          <w:p w14:paraId="1E04798A"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Individuals and other withholding taxes</w:t>
            </w:r>
          </w:p>
        </w:tc>
        <w:tc>
          <w:tcPr>
            <w:tcW w:w="727" w:type="pct"/>
            <w:tcBorders>
              <w:top w:val="single" w:sz="4" w:space="0" w:color="293F5B"/>
              <w:left w:val="nil"/>
              <w:bottom w:val="nil"/>
              <w:right w:val="nil"/>
            </w:tcBorders>
            <w:shd w:val="clear" w:color="auto" w:fill="auto"/>
            <w:noWrap/>
            <w:vAlign w:val="center"/>
            <w:hideMark/>
          </w:tcPr>
          <w:p w14:paraId="2CB757F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 </w:t>
            </w:r>
          </w:p>
        </w:tc>
        <w:tc>
          <w:tcPr>
            <w:tcW w:w="727" w:type="pct"/>
            <w:tcBorders>
              <w:top w:val="single" w:sz="4" w:space="0" w:color="293F5B"/>
              <w:left w:val="nil"/>
              <w:bottom w:val="nil"/>
              <w:right w:val="nil"/>
            </w:tcBorders>
            <w:shd w:val="clear" w:color="000000" w:fill="E6F2FF"/>
            <w:noWrap/>
            <w:vAlign w:val="center"/>
            <w:hideMark/>
          </w:tcPr>
          <w:p w14:paraId="10B62E05"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38102B64" w14:textId="77777777" w:rsidR="0091479B" w:rsidRPr="00966BD4" w:rsidRDefault="0091479B" w:rsidP="0091479B">
            <w:pPr>
              <w:spacing w:before="0" w:after="0" w:line="240" w:lineRule="auto"/>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5F5D704C"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 </w:t>
            </w:r>
          </w:p>
        </w:tc>
        <w:tc>
          <w:tcPr>
            <w:tcW w:w="657" w:type="pct"/>
            <w:tcBorders>
              <w:top w:val="single" w:sz="4" w:space="0" w:color="293F5B"/>
              <w:left w:val="nil"/>
              <w:bottom w:val="nil"/>
              <w:right w:val="nil"/>
            </w:tcBorders>
            <w:shd w:val="clear" w:color="auto" w:fill="auto"/>
            <w:noWrap/>
            <w:vAlign w:val="center"/>
            <w:hideMark/>
          </w:tcPr>
          <w:p w14:paraId="1EA9ECB4"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 </w:t>
            </w:r>
          </w:p>
        </w:tc>
      </w:tr>
      <w:tr w:rsidR="0091479B" w:rsidRPr="00966BD4" w14:paraId="493015D4"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69AC042"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Gross income tax withholding</w:t>
            </w:r>
          </w:p>
        </w:tc>
        <w:tc>
          <w:tcPr>
            <w:tcW w:w="727" w:type="pct"/>
            <w:tcBorders>
              <w:top w:val="nil"/>
              <w:left w:val="nil"/>
              <w:bottom w:val="nil"/>
              <w:right w:val="nil"/>
            </w:tcBorders>
            <w:shd w:val="clear" w:color="auto" w:fill="auto"/>
            <w:noWrap/>
            <w:vAlign w:val="center"/>
            <w:hideMark/>
          </w:tcPr>
          <w:p w14:paraId="29CE94E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275,500</w:t>
            </w:r>
          </w:p>
        </w:tc>
        <w:tc>
          <w:tcPr>
            <w:tcW w:w="727" w:type="pct"/>
            <w:tcBorders>
              <w:top w:val="nil"/>
              <w:left w:val="nil"/>
              <w:bottom w:val="nil"/>
              <w:right w:val="nil"/>
            </w:tcBorders>
            <w:shd w:val="clear" w:color="000000" w:fill="E6F2FF"/>
            <w:noWrap/>
            <w:vAlign w:val="center"/>
            <w:hideMark/>
          </w:tcPr>
          <w:p w14:paraId="7532E4D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286,700</w:t>
            </w:r>
          </w:p>
        </w:tc>
        <w:tc>
          <w:tcPr>
            <w:tcW w:w="51" w:type="pct"/>
            <w:tcBorders>
              <w:top w:val="nil"/>
              <w:left w:val="nil"/>
              <w:bottom w:val="nil"/>
              <w:right w:val="nil"/>
            </w:tcBorders>
            <w:shd w:val="clear" w:color="auto" w:fill="auto"/>
            <w:noWrap/>
            <w:vAlign w:val="center"/>
            <w:hideMark/>
          </w:tcPr>
          <w:p w14:paraId="3C81E92B"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EDAE12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11,200</w:t>
            </w:r>
          </w:p>
        </w:tc>
        <w:tc>
          <w:tcPr>
            <w:tcW w:w="657" w:type="pct"/>
            <w:tcBorders>
              <w:top w:val="nil"/>
              <w:left w:val="nil"/>
              <w:bottom w:val="nil"/>
              <w:right w:val="nil"/>
            </w:tcBorders>
            <w:shd w:val="clear" w:color="auto" w:fill="auto"/>
            <w:noWrap/>
            <w:vAlign w:val="center"/>
            <w:hideMark/>
          </w:tcPr>
          <w:p w14:paraId="0DFD4AE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4.1</w:t>
            </w:r>
          </w:p>
        </w:tc>
      </w:tr>
      <w:tr w:rsidR="0091479B" w:rsidRPr="00966BD4" w14:paraId="5E36DD4F" w14:textId="77777777" w:rsidTr="0091479B">
        <w:trPr>
          <w:trHeight w:hRule="exact" w:val="225"/>
        </w:trPr>
        <w:tc>
          <w:tcPr>
            <w:tcW w:w="2182" w:type="pct"/>
            <w:tcBorders>
              <w:top w:val="nil"/>
              <w:left w:val="nil"/>
              <w:bottom w:val="nil"/>
              <w:right w:val="nil"/>
            </w:tcBorders>
            <w:shd w:val="clear" w:color="auto" w:fill="auto"/>
            <w:noWrap/>
            <w:vAlign w:val="center"/>
            <w:hideMark/>
          </w:tcPr>
          <w:p w14:paraId="54C2348A"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Gross other individuals</w:t>
            </w:r>
          </w:p>
        </w:tc>
        <w:tc>
          <w:tcPr>
            <w:tcW w:w="727" w:type="pct"/>
            <w:tcBorders>
              <w:top w:val="nil"/>
              <w:left w:val="nil"/>
              <w:bottom w:val="nil"/>
              <w:right w:val="nil"/>
            </w:tcBorders>
            <w:shd w:val="clear" w:color="auto" w:fill="auto"/>
            <w:noWrap/>
            <w:vAlign w:val="center"/>
            <w:hideMark/>
          </w:tcPr>
          <w:p w14:paraId="396679C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64,900</w:t>
            </w:r>
          </w:p>
        </w:tc>
        <w:tc>
          <w:tcPr>
            <w:tcW w:w="727" w:type="pct"/>
            <w:tcBorders>
              <w:top w:val="nil"/>
              <w:left w:val="nil"/>
              <w:bottom w:val="nil"/>
              <w:right w:val="nil"/>
            </w:tcBorders>
            <w:shd w:val="clear" w:color="000000" w:fill="E6F2FF"/>
            <w:noWrap/>
            <w:vAlign w:val="center"/>
            <w:hideMark/>
          </w:tcPr>
          <w:p w14:paraId="2B59E95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69,700</w:t>
            </w:r>
          </w:p>
        </w:tc>
        <w:tc>
          <w:tcPr>
            <w:tcW w:w="51" w:type="pct"/>
            <w:tcBorders>
              <w:top w:val="nil"/>
              <w:left w:val="nil"/>
              <w:bottom w:val="nil"/>
              <w:right w:val="nil"/>
            </w:tcBorders>
            <w:shd w:val="clear" w:color="auto" w:fill="auto"/>
            <w:noWrap/>
            <w:vAlign w:val="center"/>
            <w:hideMark/>
          </w:tcPr>
          <w:p w14:paraId="33594443"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29C84C7"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4,800</w:t>
            </w:r>
          </w:p>
        </w:tc>
        <w:tc>
          <w:tcPr>
            <w:tcW w:w="657" w:type="pct"/>
            <w:tcBorders>
              <w:top w:val="nil"/>
              <w:left w:val="nil"/>
              <w:bottom w:val="nil"/>
              <w:right w:val="nil"/>
            </w:tcBorders>
            <w:shd w:val="clear" w:color="auto" w:fill="auto"/>
            <w:noWrap/>
            <w:vAlign w:val="center"/>
            <w:hideMark/>
          </w:tcPr>
          <w:p w14:paraId="499E6FE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7.4</w:t>
            </w:r>
          </w:p>
        </w:tc>
      </w:tr>
      <w:tr w:rsidR="0091479B" w:rsidRPr="00966BD4" w14:paraId="35D9AAFF"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9D516FB" w14:textId="77777777" w:rsidR="0091479B" w:rsidRPr="00966BD4" w:rsidRDefault="0091479B" w:rsidP="0091479B">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w:t>
            </w:r>
          </w:p>
        </w:tc>
        <w:tc>
          <w:tcPr>
            <w:tcW w:w="727" w:type="pct"/>
            <w:tcBorders>
              <w:top w:val="nil"/>
              <w:left w:val="nil"/>
              <w:bottom w:val="single" w:sz="4" w:space="0" w:color="293F5B"/>
              <w:right w:val="nil"/>
            </w:tcBorders>
            <w:shd w:val="clear" w:color="auto" w:fill="auto"/>
            <w:noWrap/>
            <w:vAlign w:val="center"/>
            <w:hideMark/>
          </w:tcPr>
          <w:p w14:paraId="7EDFA1F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36,000</w:t>
            </w:r>
          </w:p>
        </w:tc>
        <w:tc>
          <w:tcPr>
            <w:tcW w:w="727" w:type="pct"/>
            <w:tcBorders>
              <w:top w:val="nil"/>
              <w:left w:val="nil"/>
              <w:bottom w:val="single" w:sz="4" w:space="0" w:color="293F5B"/>
              <w:right w:val="nil"/>
            </w:tcBorders>
            <w:shd w:val="clear" w:color="000000" w:fill="E6F2FF"/>
            <w:noWrap/>
            <w:vAlign w:val="center"/>
            <w:hideMark/>
          </w:tcPr>
          <w:p w14:paraId="6455EB5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37,000</w:t>
            </w:r>
          </w:p>
        </w:tc>
        <w:tc>
          <w:tcPr>
            <w:tcW w:w="51" w:type="pct"/>
            <w:tcBorders>
              <w:top w:val="nil"/>
              <w:left w:val="nil"/>
              <w:bottom w:val="nil"/>
              <w:right w:val="nil"/>
            </w:tcBorders>
            <w:shd w:val="clear" w:color="auto" w:fill="auto"/>
            <w:noWrap/>
            <w:vAlign w:val="center"/>
            <w:hideMark/>
          </w:tcPr>
          <w:p w14:paraId="4F31EAED"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single" w:sz="4" w:space="0" w:color="293F5B"/>
              <w:right w:val="nil"/>
            </w:tcBorders>
            <w:shd w:val="clear" w:color="auto" w:fill="auto"/>
            <w:noWrap/>
            <w:vAlign w:val="center"/>
            <w:hideMark/>
          </w:tcPr>
          <w:p w14:paraId="490E7823"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1,000</w:t>
            </w:r>
          </w:p>
        </w:tc>
        <w:tc>
          <w:tcPr>
            <w:tcW w:w="657" w:type="pct"/>
            <w:tcBorders>
              <w:top w:val="nil"/>
              <w:left w:val="nil"/>
              <w:bottom w:val="single" w:sz="4" w:space="0" w:color="293F5B"/>
              <w:right w:val="nil"/>
            </w:tcBorders>
            <w:shd w:val="clear" w:color="auto" w:fill="auto"/>
            <w:noWrap/>
            <w:vAlign w:val="center"/>
            <w:hideMark/>
          </w:tcPr>
          <w:p w14:paraId="4B23C21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2.8</w:t>
            </w:r>
          </w:p>
        </w:tc>
      </w:tr>
      <w:tr w:rsidR="0091479B" w:rsidRPr="00966BD4" w14:paraId="31FE592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A81CCC7"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Total individuals and other withholding tax</w:t>
            </w:r>
          </w:p>
        </w:tc>
        <w:tc>
          <w:tcPr>
            <w:tcW w:w="727" w:type="pct"/>
            <w:tcBorders>
              <w:top w:val="nil"/>
              <w:left w:val="nil"/>
              <w:bottom w:val="nil"/>
              <w:right w:val="nil"/>
            </w:tcBorders>
            <w:shd w:val="clear" w:color="auto" w:fill="auto"/>
            <w:noWrap/>
            <w:vAlign w:val="center"/>
            <w:hideMark/>
          </w:tcPr>
          <w:p w14:paraId="6099EDD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304,400</w:t>
            </w:r>
          </w:p>
        </w:tc>
        <w:tc>
          <w:tcPr>
            <w:tcW w:w="727" w:type="pct"/>
            <w:tcBorders>
              <w:top w:val="nil"/>
              <w:left w:val="nil"/>
              <w:bottom w:val="nil"/>
              <w:right w:val="nil"/>
            </w:tcBorders>
            <w:shd w:val="clear" w:color="000000" w:fill="E6F2FF"/>
            <w:noWrap/>
            <w:vAlign w:val="center"/>
            <w:hideMark/>
          </w:tcPr>
          <w:p w14:paraId="0C457120"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319,400</w:t>
            </w:r>
          </w:p>
        </w:tc>
        <w:tc>
          <w:tcPr>
            <w:tcW w:w="51" w:type="pct"/>
            <w:tcBorders>
              <w:top w:val="nil"/>
              <w:left w:val="nil"/>
              <w:bottom w:val="nil"/>
              <w:right w:val="nil"/>
            </w:tcBorders>
            <w:shd w:val="clear" w:color="auto" w:fill="auto"/>
            <w:noWrap/>
            <w:vAlign w:val="center"/>
            <w:hideMark/>
          </w:tcPr>
          <w:p w14:paraId="5F119850"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10D1E0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15,000</w:t>
            </w:r>
          </w:p>
        </w:tc>
        <w:tc>
          <w:tcPr>
            <w:tcW w:w="657" w:type="pct"/>
            <w:tcBorders>
              <w:top w:val="nil"/>
              <w:left w:val="nil"/>
              <w:bottom w:val="nil"/>
              <w:right w:val="nil"/>
            </w:tcBorders>
            <w:shd w:val="clear" w:color="auto" w:fill="auto"/>
            <w:noWrap/>
            <w:vAlign w:val="center"/>
            <w:hideMark/>
          </w:tcPr>
          <w:p w14:paraId="2F462B7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4.9</w:t>
            </w:r>
          </w:p>
        </w:tc>
      </w:tr>
      <w:tr w:rsidR="0091479B" w:rsidRPr="00966BD4" w14:paraId="3DF41B81"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5AF4713"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Fringe benefits tax</w:t>
            </w:r>
          </w:p>
        </w:tc>
        <w:tc>
          <w:tcPr>
            <w:tcW w:w="727" w:type="pct"/>
            <w:tcBorders>
              <w:top w:val="nil"/>
              <w:left w:val="nil"/>
              <w:bottom w:val="nil"/>
              <w:right w:val="nil"/>
            </w:tcBorders>
            <w:shd w:val="clear" w:color="auto" w:fill="auto"/>
            <w:noWrap/>
            <w:vAlign w:val="center"/>
            <w:hideMark/>
          </w:tcPr>
          <w:p w14:paraId="30465AD3"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3,510</w:t>
            </w:r>
          </w:p>
        </w:tc>
        <w:tc>
          <w:tcPr>
            <w:tcW w:w="727" w:type="pct"/>
            <w:tcBorders>
              <w:top w:val="nil"/>
              <w:left w:val="nil"/>
              <w:bottom w:val="nil"/>
              <w:right w:val="nil"/>
            </w:tcBorders>
            <w:shd w:val="clear" w:color="000000" w:fill="E6F2FF"/>
            <w:noWrap/>
            <w:vAlign w:val="center"/>
            <w:hideMark/>
          </w:tcPr>
          <w:p w14:paraId="16172FF7"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3,540</w:t>
            </w:r>
          </w:p>
        </w:tc>
        <w:tc>
          <w:tcPr>
            <w:tcW w:w="51" w:type="pct"/>
            <w:tcBorders>
              <w:top w:val="nil"/>
              <w:left w:val="nil"/>
              <w:bottom w:val="nil"/>
              <w:right w:val="nil"/>
            </w:tcBorders>
            <w:shd w:val="clear" w:color="auto" w:fill="auto"/>
            <w:noWrap/>
            <w:vAlign w:val="center"/>
            <w:hideMark/>
          </w:tcPr>
          <w:p w14:paraId="1297CC02"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47A21D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30</w:t>
            </w:r>
          </w:p>
        </w:tc>
        <w:tc>
          <w:tcPr>
            <w:tcW w:w="657" w:type="pct"/>
            <w:tcBorders>
              <w:top w:val="nil"/>
              <w:left w:val="nil"/>
              <w:bottom w:val="nil"/>
              <w:right w:val="nil"/>
            </w:tcBorders>
            <w:shd w:val="clear" w:color="auto" w:fill="auto"/>
            <w:noWrap/>
            <w:vAlign w:val="center"/>
            <w:hideMark/>
          </w:tcPr>
          <w:p w14:paraId="3C705ED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0.9</w:t>
            </w:r>
          </w:p>
        </w:tc>
      </w:tr>
      <w:tr w:rsidR="0091479B" w:rsidRPr="00966BD4" w14:paraId="311DE1B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58CFE7D2"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Company tax</w:t>
            </w:r>
          </w:p>
        </w:tc>
        <w:tc>
          <w:tcPr>
            <w:tcW w:w="727" w:type="pct"/>
            <w:tcBorders>
              <w:top w:val="nil"/>
              <w:left w:val="nil"/>
              <w:bottom w:val="nil"/>
              <w:right w:val="nil"/>
            </w:tcBorders>
            <w:shd w:val="clear" w:color="auto" w:fill="auto"/>
            <w:noWrap/>
            <w:vAlign w:val="center"/>
            <w:hideMark/>
          </w:tcPr>
          <w:p w14:paraId="3AFD59D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99,800</w:t>
            </w:r>
          </w:p>
        </w:tc>
        <w:tc>
          <w:tcPr>
            <w:tcW w:w="727" w:type="pct"/>
            <w:tcBorders>
              <w:top w:val="nil"/>
              <w:left w:val="nil"/>
              <w:bottom w:val="nil"/>
              <w:right w:val="nil"/>
            </w:tcBorders>
            <w:shd w:val="clear" w:color="000000" w:fill="E6F2FF"/>
            <w:noWrap/>
            <w:vAlign w:val="center"/>
            <w:hideMark/>
          </w:tcPr>
          <w:p w14:paraId="246BDB2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128,700</w:t>
            </w:r>
          </w:p>
        </w:tc>
        <w:tc>
          <w:tcPr>
            <w:tcW w:w="51" w:type="pct"/>
            <w:tcBorders>
              <w:top w:val="nil"/>
              <w:left w:val="nil"/>
              <w:bottom w:val="nil"/>
              <w:right w:val="nil"/>
            </w:tcBorders>
            <w:shd w:val="clear" w:color="auto" w:fill="auto"/>
            <w:noWrap/>
            <w:vAlign w:val="center"/>
            <w:hideMark/>
          </w:tcPr>
          <w:p w14:paraId="58C254E8"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24032E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28,900</w:t>
            </w:r>
          </w:p>
        </w:tc>
        <w:tc>
          <w:tcPr>
            <w:tcW w:w="657" w:type="pct"/>
            <w:tcBorders>
              <w:top w:val="nil"/>
              <w:left w:val="nil"/>
              <w:bottom w:val="nil"/>
              <w:right w:val="nil"/>
            </w:tcBorders>
            <w:shd w:val="clear" w:color="auto" w:fill="auto"/>
            <w:noWrap/>
            <w:vAlign w:val="center"/>
            <w:hideMark/>
          </w:tcPr>
          <w:p w14:paraId="63EDB3F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29.0</w:t>
            </w:r>
          </w:p>
        </w:tc>
      </w:tr>
      <w:tr w:rsidR="0091479B" w:rsidRPr="00966BD4" w14:paraId="2831F0C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62694BA0"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Superannuation fund taxes</w:t>
            </w:r>
          </w:p>
        </w:tc>
        <w:tc>
          <w:tcPr>
            <w:tcW w:w="727" w:type="pct"/>
            <w:tcBorders>
              <w:top w:val="nil"/>
              <w:left w:val="nil"/>
              <w:bottom w:val="nil"/>
              <w:right w:val="nil"/>
            </w:tcBorders>
            <w:shd w:val="clear" w:color="auto" w:fill="auto"/>
            <w:noWrap/>
            <w:vAlign w:val="center"/>
            <w:hideMark/>
          </w:tcPr>
          <w:p w14:paraId="7C8715A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20,460</w:t>
            </w:r>
          </w:p>
        </w:tc>
        <w:tc>
          <w:tcPr>
            <w:tcW w:w="727" w:type="pct"/>
            <w:tcBorders>
              <w:top w:val="nil"/>
              <w:left w:val="nil"/>
              <w:bottom w:val="nil"/>
              <w:right w:val="nil"/>
            </w:tcBorders>
            <w:shd w:val="clear" w:color="000000" w:fill="E6F2FF"/>
            <w:noWrap/>
            <w:vAlign w:val="center"/>
            <w:hideMark/>
          </w:tcPr>
          <w:p w14:paraId="6556DAB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16,560</w:t>
            </w:r>
          </w:p>
        </w:tc>
        <w:tc>
          <w:tcPr>
            <w:tcW w:w="51" w:type="pct"/>
            <w:tcBorders>
              <w:top w:val="nil"/>
              <w:left w:val="nil"/>
              <w:bottom w:val="nil"/>
              <w:right w:val="nil"/>
            </w:tcBorders>
            <w:shd w:val="clear" w:color="auto" w:fill="auto"/>
            <w:noWrap/>
            <w:vAlign w:val="center"/>
            <w:hideMark/>
          </w:tcPr>
          <w:p w14:paraId="5012B005"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7F79976" w14:textId="762DD321"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3,900</w:t>
            </w:r>
          </w:p>
        </w:tc>
        <w:tc>
          <w:tcPr>
            <w:tcW w:w="657" w:type="pct"/>
            <w:tcBorders>
              <w:top w:val="nil"/>
              <w:left w:val="nil"/>
              <w:bottom w:val="nil"/>
              <w:right w:val="nil"/>
            </w:tcBorders>
            <w:shd w:val="clear" w:color="auto" w:fill="auto"/>
            <w:noWrap/>
            <w:vAlign w:val="center"/>
            <w:hideMark/>
          </w:tcPr>
          <w:p w14:paraId="70C7486A" w14:textId="24A8D12C"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19.1</w:t>
            </w:r>
          </w:p>
        </w:tc>
      </w:tr>
      <w:tr w:rsidR="0091479B" w:rsidRPr="00966BD4" w14:paraId="203E411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1EEF269D"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Petroleum resource rent tax</w:t>
            </w:r>
          </w:p>
        </w:tc>
        <w:tc>
          <w:tcPr>
            <w:tcW w:w="727" w:type="pct"/>
            <w:tcBorders>
              <w:top w:val="nil"/>
              <w:left w:val="nil"/>
              <w:bottom w:val="nil"/>
              <w:right w:val="nil"/>
            </w:tcBorders>
            <w:shd w:val="clear" w:color="auto" w:fill="auto"/>
            <w:noWrap/>
            <w:vAlign w:val="center"/>
            <w:hideMark/>
          </w:tcPr>
          <w:p w14:paraId="57A9157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2,450</w:t>
            </w:r>
          </w:p>
        </w:tc>
        <w:tc>
          <w:tcPr>
            <w:tcW w:w="727" w:type="pct"/>
            <w:tcBorders>
              <w:top w:val="nil"/>
              <w:left w:val="nil"/>
              <w:bottom w:val="nil"/>
              <w:right w:val="nil"/>
            </w:tcBorders>
            <w:shd w:val="clear" w:color="000000" w:fill="E6F2FF"/>
            <w:noWrap/>
            <w:vAlign w:val="center"/>
            <w:hideMark/>
          </w:tcPr>
          <w:p w14:paraId="0CA9A4E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2,750</w:t>
            </w:r>
          </w:p>
        </w:tc>
        <w:tc>
          <w:tcPr>
            <w:tcW w:w="51" w:type="pct"/>
            <w:tcBorders>
              <w:top w:val="nil"/>
              <w:left w:val="nil"/>
              <w:bottom w:val="nil"/>
              <w:right w:val="nil"/>
            </w:tcBorders>
            <w:shd w:val="clear" w:color="auto" w:fill="auto"/>
            <w:noWrap/>
            <w:vAlign w:val="center"/>
            <w:hideMark/>
          </w:tcPr>
          <w:p w14:paraId="632781D0"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DABF13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nil"/>
              <w:right w:val="nil"/>
            </w:tcBorders>
            <w:shd w:val="clear" w:color="auto" w:fill="auto"/>
            <w:noWrap/>
            <w:vAlign w:val="center"/>
            <w:hideMark/>
          </w:tcPr>
          <w:p w14:paraId="4852817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12.2</w:t>
            </w:r>
          </w:p>
        </w:tc>
      </w:tr>
      <w:tr w:rsidR="0091479B" w:rsidRPr="00966BD4" w14:paraId="3A6F78F0"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F5427C3"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Income taxation receipts</w:t>
            </w:r>
          </w:p>
        </w:tc>
        <w:tc>
          <w:tcPr>
            <w:tcW w:w="727" w:type="pct"/>
            <w:tcBorders>
              <w:top w:val="single" w:sz="4" w:space="0" w:color="293F5B"/>
              <w:left w:val="nil"/>
              <w:bottom w:val="single" w:sz="4" w:space="0" w:color="293F5B"/>
              <w:right w:val="nil"/>
            </w:tcBorders>
            <w:shd w:val="clear" w:color="auto" w:fill="auto"/>
            <w:noWrap/>
            <w:vAlign w:val="center"/>
            <w:hideMark/>
          </w:tcPr>
          <w:p w14:paraId="2A8628DA"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430,620</w:t>
            </w:r>
          </w:p>
        </w:tc>
        <w:tc>
          <w:tcPr>
            <w:tcW w:w="727" w:type="pct"/>
            <w:tcBorders>
              <w:top w:val="single" w:sz="4" w:space="0" w:color="293F5B"/>
              <w:left w:val="nil"/>
              <w:bottom w:val="single" w:sz="4" w:space="0" w:color="293F5B"/>
              <w:right w:val="nil"/>
            </w:tcBorders>
            <w:shd w:val="clear" w:color="000000" w:fill="E6F2FF"/>
            <w:noWrap/>
            <w:vAlign w:val="center"/>
            <w:hideMark/>
          </w:tcPr>
          <w:p w14:paraId="77D9F1D5"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470,950</w:t>
            </w:r>
          </w:p>
        </w:tc>
        <w:tc>
          <w:tcPr>
            <w:tcW w:w="51" w:type="pct"/>
            <w:tcBorders>
              <w:top w:val="nil"/>
              <w:left w:val="nil"/>
              <w:bottom w:val="nil"/>
              <w:right w:val="nil"/>
            </w:tcBorders>
            <w:shd w:val="clear" w:color="auto" w:fill="auto"/>
            <w:noWrap/>
            <w:vAlign w:val="center"/>
            <w:hideMark/>
          </w:tcPr>
          <w:p w14:paraId="7F1F72E2" w14:textId="77777777" w:rsidR="0091479B" w:rsidRPr="00966BD4" w:rsidRDefault="0091479B" w:rsidP="0091479B">
            <w:pPr>
              <w:spacing w:before="0" w:after="0" w:line="240" w:lineRule="auto"/>
              <w:jc w:val="right"/>
              <w:rPr>
                <w:rFonts w:ascii="Arial" w:hAnsi="Arial" w:cs="Arial"/>
                <w:b/>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748747B4"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40,330</w:t>
            </w:r>
          </w:p>
        </w:tc>
        <w:tc>
          <w:tcPr>
            <w:tcW w:w="657" w:type="pct"/>
            <w:tcBorders>
              <w:top w:val="single" w:sz="4" w:space="0" w:color="293F5B"/>
              <w:left w:val="nil"/>
              <w:bottom w:val="single" w:sz="4" w:space="0" w:color="293F5B"/>
              <w:right w:val="nil"/>
            </w:tcBorders>
            <w:shd w:val="clear" w:color="auto" w:fill="auto"/>
            <w:noWrap/>
            <w:vAlign w:val="center"/>
            <w:hideMark/>
          </w:tcPr>
          <w:p w14:paraId="04D6AB1F"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9.4</w:t>
            </w:r>
          </w:p>
        </w:tc>
      </w:tr>
      <w:tr w:rsidR="0091479B" w:rsidRPr="00966BD4" w14:paraId="5F8321AE" w14:textId="77777777" w:rsidTr="0091479B">
        <w:trPr>
          <w:trHeight w:hRule="exact" w:val="225"/>
        </w:trPr>
        <w:tc>
          <w:tcPr>
            <w:tcW w:w="2182" w:type="pct"/>
            <w:tcBorders>
              <w:top w:val="nil"/>
              <w:left w:val="nil"/>
              <w:bottom w:val="nil"/>
              <w:right w:val="nil"/>
            </w:tcBorders>
            <w:shd w:val="clear" w:color="auto" w:fill="auto"/>
            <w:noWrap/>
            <w:vAlign w:val="center"/>
            <w:hideMark/>
          </w:tcPr>
          <w:p w14:paraId="617F5D43"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Goods and services tax</w:t>
            </w:r>
          </w:p>
        </w:tc>
        <w:tc>
          <w:tcPr>
            <w:tcW w:w="727" w:type="pct"/>
            <w:tcBorders>
              <w:top w:val="nil"/>
              <w:left w:val="nil"/>
              <w:bottom w:val="nil"/>
              <w:right w:val="nil"/>
            </w:tcBorders>
            <w:shd w:val="clear" w:color="auto" w:fill="auto"/>
            <w:noWrap/>
            <w:vAlign w:val="center"/>
            <w:hideMark/>
          </w:tcPr>
          <w:p w14:paraId="6E29B78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85,641</w:t>
            </w:r>
          </w:p>
        </w:tc>
        <w:tc>
          <w:tcPr>
            <w:tcW w:w="727" w:type="pct"/>
            <w:tcBorders>
              <w:top w:val="nil"/>
              <w:left w:val="nil"/>
              <w:bottom w:val="nil"/>
              <w:right w:val="nil"/>
            </w:tcBorders>
            <w:shd w:val="clear" w:color="000000" w:fill="E6F2FF"/>
            <w:noWrap/>
            <w:vAlign w:val="center"/>
            <w:hideMark/>
          </w:tcPr>
          <w:p w14:paraId="51723D8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86,009</w:t>
            </w:r>
          </w:p>
        </w:tc>
        <w:tc>
          <w:tcPr>
            <w:tcW w:w="51" w:type="pct"/>
            <w:tcBorders>
              <w:top w:val="nil"/>
              <w:left w:val="nil"/>
              <w:bottom w:val="nil"/>
              <w:right w:val="nil"/>
            </w:tcBorders>
            <w:shd w:val="clear" w:color="auto" w:fill="auto"/>
            <w:noWrap/>
            <w:vAlign w:val="center"/>
            <w:hideMark/>
          </w:tcPr>
          <w:p w14:paraId="26AF90E8"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856C97B"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368</w:t>
            </w:r>
          </w:p>
        </w:tc>
        <w:tc>
          <w:tcPr>
            <w:tcW w:w="657" w:type="pct"/>
            <w:tcBorders>
              <w:top w:val="nil"/>
              <w:left w:val="nil"/>
              <w:bottom w:val="nil"/>
              <w:right w:val="nil"/>
            </w:tcBorders>
            <w:shd w:val="clear" w:color="auto" w:fill="auto"/>
            <w:noWrap/>
            <w:vAlign w:val="center"/>
            <w:hideMark/>
          </w:tcPr>
          <w:p w14:paraId="747C4C2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0.4</w:t>
            </w:r>
          </w:p>
        </w:tc>
      </w:tr>
      <w:tr w:rsidR="0091479B" w:rsidRPr="00966BD4" w14:paraId="08AE6D7E"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4AFE70E"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Wine equalisation tax</w:t>
            </w:r>
          </w:p>
        </w:tc>
        <w:tc>
          <w:tcPr>
            <w:tcW w:w="727" w:type="pct"/>
            <w:tcBorders>
              <w:top w:val="nil"/>
              <w:left w:val="nil"/>
              <w:bottom w:val="nil"/>
              <w:right w:val="nil"/>
            </w:tcBorders>
            <w:shd w:val="clear" w:color="auto" w:fill="auto"/>
            <w:noWrap/>
            <w:vAlign w:val="center"/>
            <w:hideMark/>
          </w:tcPr>
          <w:p w14:paraId="2B3FCB9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1,190</w:t>
            </w:r>
          </w:p>
        </w:tc>
        <w:tc>
          <w:tcPr>
            <w:tcW w:w="727" w:type="pct"/>
            <w:tcBorders>
              <w:top w:val="nil"/>
              <w:left w:val="nil"/>
              <w:bottom w:val="nil"/>
              <w:right w:val="nil"/>
            </w:tcBorders>
            <w:shd w:val="clear" w:color="000000" w:fill="E6F2FF"/>
            <w:noWrap/>
            <w:vAlign w:val="center"/>
            <w:hideMark/>
          </w:tcPr>
          <w:p w14:paraId="49715E7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1,140</w:t>
            </w:r>
          </w:p>
        </w:tc>
        <w:tc>
          <w:tcPr>
            <w:tcW w:w="51" w:type="pct"/>
            <w:tcBorders>
              <w:top w:val="nil"/>
              <w:left w:val="nil"/>
              <w:bottom w:val="nil"/>
              <w:right w:val="nil"/>
            </w:tcBorders>
            <w:shd w:val="clear" w:color="auto" w:fill="auto"/>
            <w:noWrap/>
            <w:vAlign w:val="center"/>
            <w:hideMark/>
          </w:tcPr>
          <w:p w14:paraId="1D416DBF"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21BF78C" w14:textId="2BC7CE40"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50</w:t>
            </w:r>
          </w:p>
        </w:tc>
        <w:tc>
          <w:tcPr>
            <w:tcW w:w="657" w:type="pct"/>
            <w:tcBorders>
              <w:top w:val="nil"/>
              <w:left w:val="nil"/>
              <w:bottom w:val="nil"/>
              <w:right w:val="nil"/>
            </w:tcBorders>
            <w:shd w:val="clear" w:color="auto" w:fill="auto"/>
            <w:noWrap/>
            <w:vAlign w:val="center"/>
            <w:hideMark/>
          </w:tcPr>
          <w:p w14:paraId="35F4BAC8" w14:textId="5B2AD814"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4.2</w:t>
            </w:r>
          </w:p>
        </w:tc>
      </w:tr>
      <w:tr w:rsidR="0091479B" w:rsidRPr="00966BD4" w14:paraId="271AABAC" w14:textId="77777777" w:rsidTr="0091479B">
        <w:trPr>
          <w:trHeight w:hRule="exact" w:val="225"/>
        </w:trPr>
        <w:tc>
          <w:tcPr>
            <w:tcW w:w="2182" w:type="pct"/>
            <w:tcBorders>
              <w:top w:val="nil"/>
              <w:left w:val="nil"/>
              <w:bottom w:val="nil"/>
              <w:right w:val="nil"/>
            </w:tcBorders>
            <w:shd w:val="clear" w:color="auto" w:fill="auto"/>
            <w:noWrap/>
            <w:vAlign w:val="center"/>
            <w:hideMark/>
          </w:tcPr>
          <w:p w14:paraId="26AB1E4B"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Luxury car tax</w:t>
            </w:r>
          </w:p>
        </w:tc>
        <w:tc>
          <w:tcPr>
            <w:tcW w:w="727" w:type="pct"/>
            <w:tcBorders>
              <w:top w:val="nil"/>
              <w:left w:val="nil"/>
              <w:bottom w:val="nil"/>
              <w:right w:val="nil"/>
            </w:tcBorders>
            <w:shd w:val="clear" w:color="auto" w:fill="auto"/>
            <w:noWrap/>
            <w:vAlign w:val="center"/>
            <w:hideMark/>
          </w:tcPr>
          <w:p w14:paraId="0DB5DA7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870</w:t>
            </w:r>
          </w:p>
        </w:tc>
        <w:tc>
          <w:tcPr>
            <w:tcW w:w="727" w:type="pct"/>
            <w:tcBorders>
              <w:top w:val="nil"/>
              <w:left w:val="nil"/>
              <w:bottom w:val="nil"/>
              <w:right w:val="nil"/>
            </w:tcBorders>
            <w:shd w:val="clear" w:color="000000" w:fill="E6F2FF"/>
            <w:noWrap/>
            <w:vAlign w:val="center"/>
            <w:hideMark/>
          </w:tcPr>
          <w:p w14:paraId="148B026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870</w:t>
            </w:r>
          </w:p>
        </w:tc>
        <w:tc>
          <w:tcPr>
            <w:tcW w:w="51" w:type="pct"/>
            <w:tcBorders>
              <w:top w:val="nil"/>
              <w:left w:val="nil"/>
              <w:bottom w:val="nil"/>
              <w:right w:val="nil"/>
            </w:tcBorders>
            <w:shd w:val="clear" w:color="auto" w:fill="auto"/>
            <w:noWrap/>
            <w:vAlign w:val="center"/>
            <w:hideMark/>
          </w:tcPr>
          <w:p w14:paraId="33E867A9"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5DD9F5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52371B2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0.0</w:t>
            </w:r>
          </w:p>
        </w:tc>
      </w:tr>
      <w:tr w:rsidR="0091479B" w:rsidRPr="00966BD4" w14:paraId="7AE9D80E"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538B7E8"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Excise and customs duty</w:t>
            </w:r>
          </w:p>
        </w:tc>
        <w:tc>
          <w:tcPr>
            <w:tcW w:w="727" w:type="pct"/>
            <w:tcBorders>
              <w:top w:val="nil"/>
              <w:left w:val="nil"/>
              <w:bottom w:val="nil"/>
              <w:right w:val="nil"/>
            </w:tcBorders>
            <w:shd w:val="clear" w:color="auto" w:fill="auto"/>
            <w:noWrap/>
            <w:vAlign w:val="center"/>
            <w:hideMark/>
          </w:tcPr>
          <w:p w14:paraId="2BF411A1" w14:textId="77777777" w:rsidR="0091479B" w:rsidRPr="00966BD4" w:rsidRDefault="0091479B" w:rsidP="0091479B">
            <w:pPr>
              <w:spacing w:before="0" w:after="0" w:line="240" w:lineRule="auto"/>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4D5518D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54A7CC25"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44F9CEE" w14:textId="77777777" w:rsidR="0091479B" w:rsidRPr="00966BD4" w:rsidRDefault="0091479B" w:rsidP="0091479B">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3D44291B" w14:textId="77777777" w:rsidR="0091479B" w:rsidRPr="00966BD4" w:rsidRDefault="0091479B" w:rsidP="0091479B">
            <w:pPr>
              <w:spacing w:before="0" w:after="0" w:line="240" w:lineRule="auto"/>
              <w:jc w:val="right"/>
              <w:rPr>
                <w:rFonts w:ascii="Times New Roman" w:hAnsi="Times New Roman"/>
                <w:sz w:val="20"/>
              </w:rPr>
            </w:pPr>
          </w:p>
        </w:tc>
      </w:tr>
      <w:tr w:rsidR="0091479B" w:rsidRPr="00966BD4" w14:paraId="4E1841E8"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8129CD3"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Petrol</w:t>
            </w:r>
          </w:p>
        </w:tc>
        <w:tc>
          <w:tcPr>
            <w:tcW w:w="727" w:type="pct"/>
            <w:tcBorders>
              <w:top w:val="nil"/>
              <w:left w:val="nil"/>
              <w:bottom w:val="nil"/>
              <w:right w:val="nil"/>
            </w:tcBorders>
            <w:shd w:val="clear" w:color="auto" w:fill="auto"/>
            <w:noWrap/>
            <w:vAlign w:val="center"/>
            <w:hideMark/>
          </w:tcPr>
          <w:p w14:paraId="7D1741B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6,850</w:t>
            </w:r>
          </w:p>
        </w:tc>
        <w:tc>
          <w:tcPr>
            <w:tcW w:w="727" w:type="pct"/>
            <w:tcBorders>
              <w:top w:val="nil"/>
              <w:left w:val="nil"/>
              <w:bottom w:val="nil"/>
              <w:right w:val="nil"/>
            </w:tcBorders>
            <w:shd w:val="clear" w:color="000000" w:fill="E6F2FF"/>
            <w:noWrap/>
            <w:vAlign w:val="center"/>
            <w:hideMark/>
          </w:tcPr>
          <w:p w14:paraId="0040D51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7,350</w:t>
            </w:r>
          </w:p>
        </w:tc>
        <w:tc>
          <w:tcPr>
            <w:tcW w:w="51" w:type="pct"/>
            <w:tcBorders>
              <w:top w:val="nil"/>
              <w:left w:val="nil"/>
              <w:bottom w:val="nil"/>
              <w:right w:val="nil"/>
            </w:tcBorders>
            <w:shd w:val="clear" w:color="auto" w:fill="auto"/>
            <w:noWrap/>
            <w:vAlign w:val="center"/>
            <w:hideMark/>
          </w:tcPr>
          <w:p w14:paraId="523B6B1B"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C88DAE7"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500</w:t>
            </w:r>
          </w:p>
        </w:tc>
        <w:tc>
          <w:tcPr>
            <w:tcW w:w="657" w:type="pct"/>
            <w:tcBorders>
              <w:top w:val="nil"/>
              <w:left w:val="nil"/>
              <w:bottom w:val="nil"/>
              <w:right w:val="nil"/>
            </w:tcBorders>
            <w:shd w:val="clear" w:color="auto" w:fill="auto"/>
            <w:noWrap/>
            <w:vAlign w:val="center"/>
            <w:hideMark/>
          </w:tcPr>
          <w:p w14:paraId="3942ADF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7.3</w:t>
            </w:r>
          </w:p>
        </w:tc>
      </w:tr>
      <w:tr w:rsidR="0091479B" w:rsidRPr="00966BD4" w14:paraId="63844FE4" w14:textId="77777777" w:rsidTr="0091479B">
        <w:trPr>
          <w:trHeight w:hRule="exact" w:val="225"/>
        </w:trPr>
        <w:tc>
          <w:tcPr>
            <w:tcW w:w="2182" w:type="pct"/>
            <w:tcBorders>
              <w:top w:val="nil"/>
              <w:left w:val="nil"/>
              <w:bottom w:val="nil"/>
              <w:right w:val="nil"/>
            </w:tcBorders>
            <w:shd w:val="clear" w:color="auto" w:fill="auto"/>
            <w:noWrap/>
            <w:vAlign w:val="center"/>
            <w:hideMark/>
          </w:tcPr>
          <w:p w14:paraId="13A53A13"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Diesel</w:t>
            </w:r>
          </w:p>
        </w:tc>
        <w:tc>
          <w:tcPr>
            <w:tcW w:w="727" w:type="pct"/>
            <w:tcBorders>
              <w:top w:val="nil"/>
              <w:left w:val="nil"/>
              <w:bottom w:val="nil"/>
              <w:right w:val="nil"/>
            </w:tcBorders>
            <w:shd w:val="clear" w:color="auto" w:fill="auto"/>
            <w:noWrap/>
            <w:vAlign w:val="center"/>
            <w:hideMark/>
          </w:tcPr>
          <w:p w14:paraId="44B1A7B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15,620</w:t>
            </w:r>
          </w:p>
        </w:tc>
        <w:tc>
          <w:tcPr>
            <w:tcW w:w="727" w:type="pct"/>
            <w:tcBorders>
              <w:top w:val="nil"/>
              <w:left w:val="nil"/>
              <w:bottom w:val="nil"/>
              <w:right w:val="nil"/>
            </w:tcBorders>
            <w:shd w:val="clear" w:color="000000" w:fill="E6F2FF"/>
            <w:noWrap/>
            <w:vAlign w:val="center"/>
            <w:hideMark/>
          </w:tcPr>
          <w:p w14:paraId="6E7D10B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15,830</w:t>
            </w:r>
          </w:p>
        </w:tc>
        <w:tc>
          <w:tcPr>
            <w:tcW w:w="51" w:type="pct"/>
            <w:tcBorders>
              <w:top w:val="nil"/>
              <w:left w:val="nil"/>
              <w:bottom w:val="nil"/>
              <w:right w:val="nil"/>
            </w:tcBorders>
            <w:shd w:val="clear" w:color="auto" w:fill="auto"/>
            <w:noWrap/>
            <w:vAlign w:val="center"/>
            <w:hideMark/>
          </w:tcPr>
          <w:p w14:paraId="4EF8385E"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39744F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210</w:t>
            </w:r>
          </w:p>
        </w:tc>
        <w:tc>
          <w:tcPr>
            <w:tcW w:w="657" w:type="pct"/>
            <w:tcBorders>
              <w:top w:val="nil"/>
              <w:left w:val="nil"/>
              <w:bottom w:val="nil"/>
              <w:right w:val="nil"/>
            </w:tcBorders>
            <w:shd w:val="clear" w:color="auto" w:fill="auto"/>
            <w:noWrap/>
            <w:vAlign w:val="center"/>
            <w:hideMark/>
          </w:tcPr>
          <w:p w14:paraId="7D3E8BC0"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w:t>
            </w:r>
          </w:p>
        </w:tc>
      </w:tr>
      <w:tr w:rsidR="0091479B" w:rsidRPr="00966BD4" w14:paraId="2D16805A" w14:textId="77777777" w:rsidTr="0091479B">
        <w:trPr>
          <w:trHeight w:hRule="exact" w:val="225"/>
        </w:trPr>
        <w:tc>
          <w:tcPr>
            <w:tcW w:w="2182" w:type="pct"/>
            <w:tcBorders>
              <w:top w:val="nil"/>
              <w:left w:val="nil"/>
              <w:bottom w:val="nil"/>
              <w:right w:val="nil"/>
            </w:tcBorders>
            <w:shd w:val="clear" w:color="auto" w:fill="auto"/>
            <w:noWrap/>
            <w:vAlign w:val="center"/>
            <w:hideMark/>
          </w:tcPr>
          <w:p w14:paraId="65F9C381"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Other fuel products</w:t>
            </w:r>
          </w:p>
        </w:tc>
        <w:tc>
          <w:tcPr>
            <w:tcW w:w="727" w:type="pct"/>
            <w:tcBorders>
              <w:top w:val="nil"/>
              <w:left w:val="nil"/>
              <w:bottom w:val="nil"/>
              <w:right w:val="nil"/>
            </w:tcBorders>
            <w:shd w:val="clear" w:color="auto" w:fill="auto"/>
            <w:noWrap/>
            <w:vAlign w:val="center"/>
            <w:hideMark/>
          </w:tcPr>
          <w:p w14:paraId="39CE185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2,120</w:t>
            </w:r>
          </w:p>
        </w:tc>
        <w:tc>
          <w:tcPr>
            <w:tcW w:w="727" w:type="pct"/>
            <w:tcBorders>
              <w:top w:val="nil"/>
              <w:left w:val="nil"/>
              <w:bottom w:val="nil"/>
              <w:right w:val="nil"/>
            </w:tcBorders>
            <w:shd w:val="clear" w:color="000000" w:fill="E6F2FF"/>
            <w:noWrap/>
            <w:vAlign w:val="center"/>
            <w:hideMark/>
          </w:tcPr>
          <w:p w14:paraId="32895BD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2,080</w:t>
            </w:r>
          </w:p>
        </w:tc>
        <w:tc>
          <w:tcPr>
            <w:tcW w:w="51" w:type="pct"/>
            <w:tcBorders>
              <w:top w:val="nil"/>
              <w:left w:val="nil"/>
              <w:bottom w:val="nil"/>
              <w:right w:val="nil"/>
            </w:tcBorders>
            <w:shd w:val="clear" w:color="auto" w:fill="auto"/>
            <w:noWrap/>
            <w:vAlign w:val="center"/>
            <w:hideMark/>
          </w:tcPr>
          <w:p w14:paraId="5A95E9FA"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43DFA9B" w14:textId="2B0FA8DB"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40</w:t>
            </w:r>
          </w:p>
        </w:tc>
        <w:tc>
          <w:tcPr>
            <w:tcW w:w="657" w:type="pct"/>
            <w:tcBorders>
              <w:top w:val="nil"/>
              <w:left w:val="nil"/>
              <w:bottom w:val="nil"/>
              <w:right w:val="nil"/>
            </w:tcBorders>
            <w:shd w:val="clear" w:color="auto" w:fill="auto"/>
            <w:noWrap/>
            <w:vAlign w:val="center"/>
            <w:hideMark/>
          </w:tcPr>
          <w:p w14:paraId="18C3DD89" w14:textId="78BE5DD8"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1.9</w:t>
            </w:r>
          </w:p>
        </w:tc>
      </w:tr>
      <w:tr w:rsidR="0091479B" w:rsidRPr="00966BD4" w14:paraId="76E95792" w14:textId="77777777" w:rsidTr="0091479B">
        <w:trPr>
          <w:trHeight w:hRule="exact" w:val="225"/>
        </w:trPr>
        <w:tc>
          <w:tcPr>
            <w:tcW w:w="2182" w:type="pct"/>
            <w:tcBorders>
              <w:top w:val="nil"/>
              <w:left w:val="nil"/>
              <w:bottom w:val="nil"/>
              <w:right w:val="nil"/>
            </w:tcBorders>
            <w:shd w:val="clear" w:color="auto" w:fill="auto"/>
            <w:noWrap/>
            <w:vAlign w:val="center"/>
            <w:hideMark/>
          </w:tcPr>
          <w:p w14:paraId="5346BD48"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Tobacco</w:t>
            </w:r>
          </w:p>
        </w:tc>
        <w:tc>
          <w:tcPr>
            <w:tcW w:w="727" w:type="pct"/>
            <w:tcBorders>
              <w:top w:val="nil"/>
              <w:left w:val="nil"/>
              <w:bottom w:val="nil"/>
              <w:right w:val="nil"/>
            </w:tcBorders>
            <w:shd w:val="clear" w:color="auto" w:fill="auto"/>
            <w:noWrap/>
            <w:vAlign w:val="center"/>
            <w:hideMark/>
          </w:tcPr>
          <w:p w14:paraId="5BD8630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12,600</w:t>
            </w:r>
          </w:p>
        </w:tc>
        <w:tc>
          <w:tcPr>
            <w:tcW w:w="727" w:type="pct"/>
            <w:tcBorders>
              <w:top w:val="nil"/>
              <w:left w:val="nil"/>
              <w:bottom w:val="nil"/>
              <w:right w:val="nil"/>
            </w:tcBorders>
            <w:shd w:val="clear" w:color="000000" w:fill="E6F2FF"/>
            <w:noWrap/>
            <w:vAlign w:val="center"/>
            <w:hideMark/>
          </w:tcPr>
          <w:p w14:paraId="175BBE4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12,900</w:t>
            </w:r>
          </w:p>
        </w:tc>
        <w:tc>
          <w:tcPr>
            <w:tcW w:w="51" w:type="pct"/>
            <w:tcBorders>
              <w:top w:val="nil"/>
              <w:left w:val="nil"/>
              <w:bottom w:val="nil"/>
              <w:right w:val="nil"/>
            </w:tcBorders>
            <w:shd w:val="clear" w:color="auto" w:fill="auto"/>
            <w:noWrap/>
            <w:vAlign w:val="center"/>
            <w:hideMark/>
          </w:tcPr>
          <w:p w14:paraId="359FDFF2"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15F103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nil"/>
              <w:right w:val="nil"/>
            </w:tcBorders>
            <w:shd w:val="clear" w:color="auto" w:fill="auto"/>
            <w:noWrap/>
            <w:vAlign w:val="center"/>
            <w:hideMark/>
          </w:tcPr>
          <w:p w14:paraId="46FD1A5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2.4</w:t>
            </w:r>
          </w:p>
        </w:tc>
      </w:tr>
      <w:tr w:rsidR="0091479B" w:rsidRPr="00966BD4" w14:paraId="31568020"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0D16A8E"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Beer</w:t>
            </w:r>
          </w:p>
        </w:tc>
        <w:tc>
          <w:tcPr>
            <w:tcW w:w="727" w:type="pct"/>
            <w:tcBorders>
              <w:top w:val="nil"/>
              <w:left w:val="nil"/>
              <w:bottom w:val="nil"/>
              <w:right w:val="nil"/>
            </w:tcBorders>
            <w:shd w:val="clear" w:color="auto" w:fill="auto"/>
            <w:noWrap/>
            <w:vAlign w:val="center"/>
            <w:hideMark/>
          </w:tcPr>
          <w:p w14:paraId="2CF1C6CB"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2,680</w:t>
            </w:r>
          </w:p>
        </w:tc>
        <w:tc>
          <w:tcPr>
            <w:tcW w:w="727" w:type="pct"/>
            <w:tcBorders>
              <w:top w:val="nil"/>
              <w:left w:val="nil"/>
              <w:bottom w:val="nil"/>
              <w:right w:val="nil"/>
            </w:tcBorders>
            <w:shd w:val="clear" w:color="000000" w:fill="E6F2FF"/>
            <w:noWrap/>
            <w:vAlign w:val="center"/>
            <w:hideMark/>
          </w:tcPr>
          <w:p w14:paraId="5264214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2,640</w:t>
            </w:r>
          </w:p>
        </w:tc>
        <w:tc>
          <w:tcPr>
            <w:tcW w:w="51" w:type="pct"/>
            <w:tcBorders>
              <w:top w:val="nil"/>
              <w:left w:val="nil"/>
              <w:bottom w:val="nil"/>
              <w:right w:val="nil"/>
            </w:tcBorders>
            <w:shd w:val="clear" w:color="auto" w:fill="auto"/>
            <w:noWrap/>
            <w:vAlign w:val="center"/>
            <w:hideMark/>
          </w:tcPr>
          <w:p w14:paraId="665E72B8"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063DE53" w14:textId="705CD2BF"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40</w:t>
            </w:r>
          </w:p>
        </w:tc>
        <w:tc>
          <w:tcPr>
            <w:tcW w:w="657" w:type="pct"/>
            <w:tcBorders>
              <w:top w:val="nil"/>
              <w:left w:val="nil"/>
              <w:bottom w:val="nil"/>
              <w:right w:val="nil"/>
            </w:tcBorders>
            <w:shd w:val="clear" w:color="auto" w:fill="auto"/>
            <w:noWrap/>
            <w:vAlign w:val="center"/>
            <w:hideMark/>
          </w:tcPr>
          <w:p w14:paraId="2254FC0F" w14:textId="152033AC"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1.5</w:t>
            </w:r>
          </w:p>
        </w:tc>
      </w:tr>
      <w:tr w:rsidR="0091479B" w:rsidRPr="00966BD4" w14:paraId="33AE889E" w14:textId="77777777" w:rsidTr="0091479B">
        <w:trPr>
          <w:trHeight w:hRule="exact" w:val="225"/>
        </w:trPr>
        <w:tc>
          <w:tcPr>
            <w:tcW w:w="2182" w:type="pct"/>
            <w:tcBorders>
              <w:top w:val="nil"/>
              <w:left w:val="nil"/>
              <w:bottom w:val="nil"/>
              <w:right w:val="nil"/>
            </w:tcBorders>
            <w:shd w:val="clear" w:color="auto" w:fill="auto"/>
            <w:noWrap/>
            <w:vAlign w:val="center"/>
            <w:hideMark/>
          </w:tcPr>
          <w:p w14:paraId="5E7E19B3"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Spirits</w:t>
            </w:r>
          </w:p>
        </w:tc>
        <w:tc>
          <w:tcPr>
            <w:tcW w:w="727" w:type="pct"/>
            <w:tcBorders>
              <w:top w:val="nil"/>
              <w:left w:val="nil"/>
              <w:bottom w:val="nil"/>
              <w:right w:val="nil"/>
            </w:tcBorders>
            <w:shd w:val="clear" w:color="auto" w:fill="auto"/>
            <w:noWrap/>
            <w:vAlign w:val="center"/>
            <w:hideMark/>
          </w:tcPr>
          <w:p w14:paraId="26ACCC3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3,480</w:t>
            </w:r>
          </w:p>
        </w:tc>
        <w:tc>
          <w:tcPr>
            <w:tcW w:w="727" w:type="pct"/>
            <w:tcBorders>
              <w:top w:val="nil"/>
              <w:left w:val="nil"/>
              <w:bottom w:val="nil"/>
              <w:right w:val="nil"/>
            </w:tcBorders>
            <w:shd w:val="clear" w:color="000000" w:fill="E6F2FF"/>
            <w:noWrap/>
            <w:vAlign w:val="center"/>
            <w:hideMark/>
          </w:tcPr>
          <w:p w14:paraId="4E22E17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3,540</w:t>
            </w:r>
          </w:p>
        </w:tc>
        <w:tc>
          <w:tcPr>
            <w:tcW w:w="51" w:type="pct"/>
            <w:tcBorders>
              <w:top w:val="nil"/>
              <w:left w:val="nil"/>
              <w:bottom w:val="nil"/>
              <w:right w:val="nil"/>
            </w:tcBorders>
            <w:shd w:val="clear" w:color="auto" w:fill="auto"/>
            <w:noWrap/>
            <w:vAlign w:val="center"/>
            <w:hideMark/>
          </w:tcPr>
          <w:p w14:paraId="2B30BF17"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81FB0E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42D2FFD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1.7</w:t>
            </w:r>
          </w:p>
        </w:tc>
      </w:tr>
      <w:tr w:rsidR="0091479B" w:rsidRPr="00966BD4" w14:paraId="3D01EF06"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9BBEC3D"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Other alcoholic beverages(a)</w:t>
            </w:r>
          </w:p>
        </w:tc>
        <w:tc>
          <w:tcPr>
            <w:tcW w:w="727" w:type="pct"/>
            <w:tcBorders>
              <w:top w:val="nil"/>
              <w:left w:val="nil"/>
              <w:bottom w:val="nil"/>
              <w:right w:val="nil"/>
            </w:tcBorders>
            <w:shd w:val="clear" w:color="auto" w:fill="auto"/>
            <w:noWrap/>
            <w:vAlign w:val="center"/>
            <w:hideMark/>
          </w:tcPr>
          <w:p w14:paraId="4962CE0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1,620</w:t>
            </w:r>
          </w:p>
        </w:tc>
        <w:tc>
          <w:tcPr>
            <w:tcW w:w="727" w:type="pct"/>
            <w:tcBorders>
              <w:top w:val="nil"/>
              <w:left w:val="nil"/>
              <w:bottom w:val="nil"/>
              <w:right w:val="nil"/>
            </w:tcBorders>
            <w:shd w:val="clear" w:color="000000" w:fill="E6F2FF"/>
            <w:noWrap/>
            <w:vAlign w:val="center"/>
            <w:hideMark/>
          </w:tcPr>
          <w:p w14:paraId="6E85E12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1,680</w:t>
            </w:r>
          </w:p>
        </w:tc>
        <w:tc>
          <w:tcPr>
            <w:tcW w:w="51" w:type="pct"/>
            <w:tcBorders>
              <w:top w:val="nil"/>
              <w:left w:val="nil"/>
              <w:bottom w:val="nil"/>
              <w:right w:val="nil"/>
            </w:tcBorders>
            <w:shd w:val="clear" w:color="auto" w:fill="auto"/>
            <w:noWrap/>
            <w:vAlign w:val="center"/>
            <w:hideMark/>
          </w:tcPr>
          <w:p w14:paraId="211B07AF"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50283B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6C84C83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3.7</w:t>
            </w:r>
          </w:p>
        </w:tc>
      </w:tr>
      <w:tr w:rsidR="0091479B" w:rsidRPr="00966BD4" w14:paraId="23EF0558"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E3B9B90"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Other customs duty</w:t>
            </w:r>
          </w:p>
        </w:tc>
        <w:tc>
          <w:tcPr>
            <w:tcW w:w="727" w:type="pct"/>
            <w:tcBorders>
              <w:top w:val="nil"/>
              <w:left w:val="nil"/>
              <w:bottom w:val="nil"/>
              <w:right w:val="nil"/>
            </w:tcBorders>
            <w:shd w:val="clear" w:color="auto" w:fill="auto"/>
            <w:noWrap/>
            <w:vAlign w:val="center"/>
            <w:hideMark/>
          </w:tcPr>
          <w:p w14:paraId="1FCBA9BF" w14:textId="77777777" w:rsidR="0091479B" w:rsidRPr="00966BD4" w:rsidRDefault="0091479B" w:rsidP="0091479B">
            <w:pPr>
              <w:spacing w:before="0" w:after="0" w:line="240" w:lineRule="auto"/>
              <w:ind w:firstLineChars="100" w:firstLine="160"/>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633BD455"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094DB9D1" w14:textId="77777777" w:rsidR="0091479B" w:rsidRPr="00966BD4" w:rsidRDefault="0091479B" w:rsidP="0091479B">
            <w:pPr>
              <w:spacing w:before="0" w:after="0" w:line="240" w:lineRule="auto"/>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5DE40D9" w14:textId="77777777" w:rsidR="0091479B" w:rsidRPr="00966BD4" w:rsidRDefault="0091479B" w:rsidP="0091479B">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3A6A87F8" w14:textId="77777777" w:rsidR="0091479B" w:rsidRPr="00966BD4" w:rsidRDefault="0091479B" w:rsidP="0091479B">
            <w:pPr>
              <w:spacing w:before="0" w:after="0" w:line="240" w:lineRule="auto"/>
              <w:jc w:val="right"/>
              <w:rPr>
                <w:rFonts w:ascii="Times New Roman" w:hAnsi="Times New Roman"/>
                <w:sz w:val="20"/>
              </w:rPr>
            </w:pPr>
          </w:p>
        </w:tc>
      </w:tr>
      <w:tr w:rsidR="0091479B" w:rsidRPr="00966BD4" w14:paraId="48D1B1DB" w14:textId="77777777" w:rsidTr="0091479B">
        <w:trPr>
          <w:trHeight w:hRule="exact" w:val="225"/>
        </w:trPr>
        <w:tc>
          <w:tcPr>
            <w:tcW w:w="2182" w:type="pct"/>
            <w:tcBorders>
              <w:top w:val="nil"/>
              <w:left w:val="nil"/>
              <w:bottom w:val="nil"/>
              <w:right w:val="nil"/>
            </w:tcBorders>
            <w:shd w:val="clear" w:color="auto" w:fill="auto"/>
            <w:noWrap/>
            <w:vAlign w:val="bottom"/>
            <w:hideMark/>
          </w:tcPr>
          <w:p w14:paraId="23ACC90D"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 xml:space="preserve">    Textiles, clothing and footwear</w:t>
            </w:r>
          </w:p>
        </w:tc>
        <w:tc>
          <w:tcPr>
            <w:tcW w:w="727" w:type="pct"/>
            <w:tcBorders>
              <w:top w:val="nil"/>
              <w:left w:val="nil"/>
              <w:bottom w:val="nil"/>
              <w:right w:val="nil"/>
            </w:tcBorders>
            <w:shd w:val="clear" w:color="auto" w:fill="auto"/>
            <w:noWrap/>
            <w:vAlign w:val="center"/>
            <w:hideMark/>
          </w:tcPr>
          <w:p w14:paraId="36A9C78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150</w:t>
            </w:r>
          </w:p>
        </w:tc>
        <w:tc>
          <w:tcPr>
            <w:tcW w:w="727" w:type="pct"/>
            <w:tcBorders>
              <w:top w:val="nil"/>
              <w:left w:val="nil"/>
              <w:bottom w:val="nil"/>
              <w:right w:val="nil"/>
            </w:tcBorders>
            <w:shd w:val="clear" w:color="000000" w:fill="E6F2FF"/>
            <w:noWrap/>
            <w:vAlign w:val="center"/>
            <w:hideMark/>
          </w:tcPr>
          <w:p w14:paraId="2A58245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170</w:t>
            </w:r>
          </w:p>
        </w:tc>
        <w:tc>
          <w:tcPr>
            <w:tcW w:w="51" w:type="pct"/>
            <w:tcBorders>
              <w:top w:val="nil"/>
              <w:left w:val="nil"/>
              <w:bottom w:val="nil"/>
              <w:right w:val="nil"/>
            </w:tcBorders>
            <w:shd w:val="clear" w:color="auto" w:fill="auto"/>
            <w:noWrap/>
            <w:vAlign w:val="center"/>
            <w:hideMark/>
          </w:tcPr>
          <w:p w14:paraId="1275F997"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2F4D83E"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20</w:t>
            </w:r>
          </w:p>
        </w:tc>
        <w:tc>
          <w:tcPr>
            <w:tcW w:w="657" w:type="pct"/>
            <w:tcBorders>
              <w:top w:val="nil"/>
              <w:left w:val="nil"/>
              <w:bottom w:val="nil"/>
              <w:right w:val="nil"/>
            </w:tcBorders>
            <w:shd w:val="clear" w:color="auto" w:fill="auto"/>
            <w:noWrap/>
            <w:vAlign w:val="center"/>
            <w:hideMark/>
          </w:tcPr>
          <w:p w14:paraId="161899D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13.3</w:t>
            </w:r>
          </w:p>
        </w:tc>
      </w:tr>
      <w:tr w:rsidR="0091479B" w:rsidRPr="00966BD4" w14:paraId="7A720DC8" w14:textId="77777777" w:rsidTr="0091479B">
        <w:trPr>
          <w:trHeight w:hRule="exact" w:val="225"/>
        </w:trPr>
        <w:tc>
          <w:tcPr>
            <w:tcW w:w="2182" w:type="pct"/>
            <w:tcBorders>
              <w:top w:val="nil"/>
              <w:left w:val="nil"/>
              <w:bottom w:val="nil"/>
              <w:right w:val="nil"/>
            </w:tcBorders>
            <w:shd w:val="clear" w:color="auto" w:fill="auto"/>
            <w:noWrap/>
            <w:vAlign w:val="bottom"/>
            <w:hideMark/>
          </w:tcPr>
          <w:p w14:paraId="2FA0EA9D"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 xml:space="preserve">    Passenger motor vehicles</w:t>
            </w:r>
          </w:p>
        </w:tc>
        <w:tc>
          <w:tcPr>
            <w:tcW w:w="727" w:type="pct"/>
            <w:tcBorders>
              <w:top w:val="nil"/>
              <w:left w:val="nil"/>
              <w:bottom w:val="nil"/>
              <w:right w:val="nil"/>
            </w:tcBorders>
            <w:shd w:val="clear" w:color="auto" w:fill="auto"/>
            <w:noWrap/>
            <w:vAlign w:val="center"/>
            <w:hideMark/>
          </w:tcPr>
          <w:p w14:paraId="4B554A8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380</w:t>
            </w:r>
          </w:p>
        </w:tc>
        <w:tc>
          <w:tcPr>
            <w:tcW w:w="727" w:type="pct"/>
            <w:tcBorders>
              <w:top w:val="nil"/>
              <w:left w:val="nil"/>
              <w:bottom w:val="nil"/>
              <w:right w:val="nil"/>
            </w:tcBorders>
            <w:shd w:val="clear" w:color="000000" w:fill="E6F2FF"/>
            <w:noWrap/>
            <w:vAlign w:val="center"/>
            <w:hideMark/>
          </w:tcPr>
          <w:p w14:paraId="2218C71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430</w:t>
            </w:r>
          </w:p>
        </w:tc>
        <w:tc>
          <w:tcPr>
            <w:tcW w:w="51" w:type="pct"/>
            <w:tcBorders>
              <w:top w:val="nil"/>
              <w:left w:val="nil"/>
              <w:bottom w:val="nil"/>
              <w:right w:val="nil"/>
            </w:tcBorders>
            <w:shd w:val="clear" w:color="auto" w:fill="auto"/>
            <w:noWrap/>
            <w:vAlign w:val="center"/>
            <w:hideMark/>
          </w:tcPr>
          <w:p w14:paraId="2B9A2049"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2D55813"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50</w:t>
            </w:r>
          </w:p>
        </w:tc>
        <w:tc>
          <w:tcPr>
            <w:tcW w:w="657" w:type="pct"/>
            <w:tcBorders>
              <w:top w:val="nil"/>
              <w:left w:val="nil"/>
              <w:bottom w:val="nil"/>
              <w:right w:val="nil"/>
            </w:tcBorders>
            <w:shd w:val="clear" w:color="auto" w:fill="auto"/>
            <w:noWrap/>
            <w:vAlign w:val="center"/>
            <w:hideMark/>
          </w:tcPr>
          <w:p w14:paraId="5DA0BCA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13.2</w:t>
            </w:r>
          </w:p>
        </w:tc>
      </w:tr>
      <w:tr w:rsidR="0091479B" w:rsidRPr="00966BD4" w14:paraId="6B38495B"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487BDED" w14:textId="77777777" w:rsidR="0091479B" w:rsidRPr="00966BD4" w:rsidRDefault="0091479B" w:rsidP="0091479B">
            <w:pPr>
              <w:spacing w:before="0" w:after="0" w:line="240" w:lineRule="auto"/>
              <w:ind w:left="170"/>
              <w:rPr>
                <w:rFonts w:ascii="Arial" w:hAnsi="Arial" w:cs="Arial"/>
                <w:sz w:val="16"/>
                <w:szCs w:val="16"/>
              </w:rPr>
            </w:pPr>
            <w:r w:rsidRPr="00966BD4">
              <w:rPr>
                <w:rFonts w:ascii="Arial" w:hAnsi="Arial" w:cs="Arial"/>
                <w:sz w:val="16"/>
                <w:szCs w:val="16"/>
              </w:rPr>
              <w:t xml:space="preserve">    Other imports</w:t>
            </w:r>
          </w:p>
        </w:tc>
        <w:tc>
          <w:tcPr>
            <w:tcW w:w="727" w:type="pct"/>
            <w:tcBorders>
              <w:top w:val="nil"/>
              <w:left w:val="nil"/>
              <w:bottom w:val="nil"/>
              <w:right w:val="nil"/>
            </w:tcBorders>
            <w:shd w:val="clear" w:color="auto" w:fill="auto"/>
            <w:noWrap/>
            <w:vAlign w:val="center"/>
            <w:hideMark/>
          </w:tcPr>
          <w:p w14:paraId="668DE1C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1,350</w:t>
            </w:r>
          </w:p>
        </w:tc>
        <w:tc>
          <w:tcPr>
            <w:tcW w:w="727" w:type="pct"/>
            <w:tcBorders>
              <w:top w:val="nil"/>
              <w:left w:val="nil"/>
              <w:bottom w:val="nil"/>
              <w:right w:val="nil"/>
            </w:tcBorders>
            <w:shd w:val="clear" w:color="000000" w:fill="E6F2FF"/>
            <w:noWrap/>
            <w:vAlign w:val="center"/>
            <w:hideMark/>
          </w:tcPr>
          <w:p w14:paraId="6C1B370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1,310</w:t>
            </w:r>
          </w:p>
        </w:tc>
        <w:tc>
          <w:tcPr>
            <w:tcW w:w="51" w:type="pct"/>
            <w:tcBorders>
              <w:top w:val="nil"/>
              <w:left w:val="nil"/>
              <w:bottom w:val="nil"/>
              <w:right w:val="nil"/>
            </w:tcBorders>
            <w:shd w:val="clear" w:color="auto" w:fill="auto"/>
            <w:noWrap/>
            <w:vAlign w:val="center"/>
            <w:hideMark/>
          </w:tcPr>
          <w:p w14:paraId="6B1A058A"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05379CA" w14:textId="17304D9F"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40</w:t>
            </w:r>
          </w:p>
        </w:tc>
        <w:tc>
          <w:tcPr>
            <w:tcW w:w="657" w:type="pct"/>
            <w:tcBorders>
              <w:top w:val="nil"/>
              <w:left w:val="nil"/>
              <w:bottom w:val="nil"/>
              <w:right w:val="nil"/>
            </w:tcBorders>
            <w:shd w:val="clear" w:color="auto" w:fill="auto"/>
            <w:noWrap/>
            <w:vAlign w:val="center"/>
            <w:hideMark/>
          </w:tcPr>
          <w:p w14:paraId="7D74218E" w14:textId="330DE2A3"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3.0</w:t>
            </w:r>
          </w:p>
        </w:tc>
      </w:tr>
      <w:tr w:rsidR="0091479B" w:rsidRPr="00966BD4" w14:paraId="6CEA9F31" w14:textId="77777777" w:rsidTr="0091479B">
        <w:trPr>
          <w:trHeight w:hRule="exact" w:val="225"/>
        </w:trPr>
        <w:tc>
          <w:tcPr>
            <w:tcW w:w="2182" w:type="pct"/>
            <w:tcBorders>
              <w:top w:val="nil"/>
              <w:left w:val="nil"/>
              <w:bottom w:val="nil"/>
              <w:right w:val="nil"/>
            </w:tcBorders>
            <w:shd w:val="clear" w:color="auto" w:fill="auto"/>
            <w:noWrap/>
            <w:vAlign w:val="bottom"/>
            <w:hideMark/>
          </w:tcPr>
          <w:p w14:paraId="6963232A" w14:textId="77777777" w:rsidR="0091479B" w:rsidRPr="00966BD4" w:rsidRDefault="0091479B" w:rsidP="0091479B">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 and drawbacks</w:t>
            </w:r>
          </w:p>
        </w:tc>
        <w:tc>
          <w:tcPr>
            <w:tcW w:w="727" w:type="pct"/>
            <w:tcBorders>
              <w:top w:val="nil"/>
              <w:left w:val="nil"/>
              <w:bottom w:val="nil"/>
              <w:right w:val="nil"/>
            </w:tcBorders>
            <w:shd w:val="clear" w:color="auto" w:fill="auto"/>
            <w:noWrap/>
            <w:vAlign w:val="center"/>
            <w:hideMark/>
          </w:tcPr>
          <w:p w14:paraId="1B48ECE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700</w:t>
            </w:r>
          </w:p>
        </w:tc>
        <w:tc>
          <w:tcPr>
            <w:tcW w:w="727" w:type="pct"/>
            <w:tcBorders>
              <w:top w:val="nil"/>
              <w:left w:val="nil"/>
              <w:bottom w:val="nil"/>
              <w:right w:val="nil"/>
            </w:tcBorders>
            <w:shd w:val="clear" w:color="000000" w:fill="E6F2FF"/>
            <w:noWrap/>
            <w:vAlign w:val="center"/>
            <w:hideMark/>
          </w:tcPr>
          <w:p w14:paraId="57B45FC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700</w:t>
            </w:r>
          </w:p>
        </w:tc>
        <w:tc>
          <w:tcPr>
            <w:tcW w:w="51" w:type="pct"/>
            <w:tcBorders>
              <w:top w:val="nil"/>
              <w:left w:val="nil"/>
              <w:bottom w:val="nil"/>
              <w:right w:val="nil"/>
            </w:tcBorders>
            <w:shd w:val="clear" w:color="auto" w:fill="auto"/>
            <w:noWrap/>
            <w:vAlign w:val="center"/>
            <w:hideMark/>
          </w:tcPr>
          <w:p w14:paraId="3DCB7903"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1EE3D8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6BBA80C3"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0.0</w:t>
            </w:r>
          </w:p>
        </w:tc>
      </w:tr>
      <w:tr w:rsidR="0091479B" w:rsidRPr="00966BD4" w14:paraId="1DDC506D" w14:textId="77777777" w:rsidTr="0091479B">
        <w:trPr>
          <w:trHeight w:hRule="exact" w:val="225"/>
        </w:trPr>
        <w:tc>
          <w:tcPr>
            <w:tcW w:w="2182" w:type="pct"/>
            <w:tcBorders>
              <w:top w:val="nil"/>
              <w:left w:val="nil"/>
              <w:bottom w:val="nil"/>
              <w:right w:val="nil"/>
            </w:tcBorders>
            <w:shd w:val="clear" w:color="auto" w:fill="auto"/>
            <w:noWrap/>
            <w:vAlign w:val="bottom"/>
            <w:hideMark/>
          </w:tcPr>
          <w:p w14:paraId="7FE9F96F"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 xml:space="preserve">Total excise and customs duty </w:t>
            </w:r>
          </w:p>
        </w:tc>
        <w:tc>
          <w:tcPr>
            <w:tcW w:w="727" w:type="pct"/>
            <w:tcBorders>
              <w:top w:val="single" w:sz="4" w:space="0" w:color="293F5B"/>
              <w:left w:val="nil"/>
              <w:bottom w:val="nil"/>
              <w:right w:val="nil"/>
            </w:tcBorders>
            <w:shd w:val="clear" w:color="auto" w:fill="auto"/>
            <w:noWrap/>
            <w:vAlign w:val="center"/>
            <w:hideMark/>
          </w:tcPr>
          <w:p w14:paraId="4E13010C"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46,150</w:t>
            </w:r>
          </w:p>
        </w:tc>
        <w:tc>
          <w:tcPr>
            <w:tcW w:w="727" w:type="pct"/>
            <w:tcBorders>
              <w:top w:val="single" w:sz="4" w:space="0" w:color="293F5B"/>
              <w:left w:val="nil"/>
              <w:bottom w:val="nil"/>
              <w:right w:val="nil"/>
            </w:tcBorders>
            <w:shd w:val="clear" w:color="000000" w:fill="E6F2FF"/>
            <w:noWrap/>
            <w:vAlign w:val="center"/>
            <w:hideMark/>
          </w:tcPr>
          <w:p w14:paraId="4A1C0E9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47,230</w:t>
            </w:r>
          </w:p>
        </w:tc>
        <w:tc>
          <w:tcPr>
            <w:tcW w:w="51" w:type="pct"/>
            <w:tcBorders>
              <w:top w:val="nil"/>
              <w:left w:val="nil"/>
              <w:bottom w:val="nil"/>
              <w:right w:val="nil"/>
            </w:tcBorders>
            <w:shd w:val="clear" w:color="auto" w:fill="auto"/>
            <w:noWrap/>
            <w:vAlign w:val="center"/>
            <w:hideMark/>
          </w:tcPr>
          <w:p w14:paraId="3168798B"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100B964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1,080</w:t>
            </w:r>
          </w:p>
        </w:tc>
        <w:tc>
          <w:tcPr>
            <w:tcW w:w="657" w:type="pct"/>
            <w:tcBorders>
              <w:top w:val="single" w:sz="4" w:space="0" w:color="293F5B"/>
              <w:left w:val="nil"/>
              <w:bottom w:val="nil"/>
              <w:right w:val="nil"/>
            </w:tcBorders>
            <w:shd w:val="clear" w:color="auto" w:fill="auto"/>
            <w:noWrap/>
            <w:vAlign w:val="center"/>
            <w:hideMark/>
          </w:tcPr>
          <w:p w14:paraId="2791C26B"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2.3</w:t>
            </w:r>
          </w:p>
        </w:tc>
      </w:tr>
      <w:tr w:rsidR="0091479B" w:rsidRPr="00966BD4" w14:paraId="389AEAB0" w14:textId="77777777" w:rsidTr="0091479B">
        <w:trPr>
          <w:trHeight w:hRule="exact" w:val="225"/>
        </w:trPr>
        <w:tc>
          <w:tcPr>
            <w:tcW w:w="2182" w:type="pct"/>
            <w:tcBorders>
              <w:top w:val="nil"/>
              <w:left w:val="nil"/>
              <w:bottom w:val="nil"/>
              <w:right w:val="nil"/>
            </w:tcBorders>
            <w:shd w:val="clear" w:color="auto" w:fill="auto"/>
            <w:noWrap/>
            <w:vAlign w:val="center"/>
            <w:hideMark/>
          </w:tcPr>
          <w:p w14:paraId="28061900"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Major Bank Levy</w:t>
            </w:r>
          </w:p>
        </w:tc>
        <w:tc>
          <w:tcPr>
            <w:tcW w:w="727" w:type="pct"/>
            <w:tcBorders>
              <w:top w:val="nil"/>
              <w:left w:val="nil"/>
              <w:bottom w:val="nil"/>
              <w:right w:val="nil"/>
            </w:tcBorders>
            <w:shd w:val="clear" w:color="auto" w:fill="auto"/>
            <w:noWrap/>
            <w:vAlign w:val="center"/>
            <w:hideMark/>
          </w:tcPr>
          <w:p w14:paraId="0CF9DFB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1,600</w:t>
            </w:r>
          </w:p>
        </w:tc>
        <w:tc>
          <w:tcPr>
            <w:tcW w:w="727" w:type="pct"/>
            <w:tcBorders>
              <w:top w:val="nil"/>
              <w:left w:val="nil"/>
              <w:bottom w:val="nil"/>
              <w:right w:val="nil"/>
            </w:tcBorders>
            <w:shd w:val="clear" w:color="000000" w:fill="E6F2FF"/>
            <w:noWrap/>
            <w:vAlign w:val="center"/>
            <w:hideMark/>
          </w:tcPr>
          <w:p w14:paraId="6907D9E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1,620</w:t>
            </w:r>
          </w:p>
        </w:tc>
        <w:tc>
          <w:tcPr>
            <w:tcW w:w="51" w:type="pct"/>
            <w:tcBorders>
              <w:top w:val="nil"/>
              <w:left w:val="nil"/>
              <w:bottom w:val="nil"/>
              <w:right w:val="nil"/>
            </w:tcBorders>
            <w:shd w:val="clear" w:color="auto" w:fill="auto"/>
            <w:noWrap/>
            <w:vAlign w:val="center"/>
            <w:hideMark/>
          </w:tcPr>
          <w:p w14:paraId="6D3F40C4"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EA494D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20</w:t>
            </w:r>
          </w:p>
        </w:tc>
        <w:tc>
          <w:tcPr>
            <w:tcW w:w="657" w:type="pct"/>
            <w:tcBorders>
              <w:top w:val="nil"/>
              <w:left w:val="nil"/>
              <w:bottom w:val="nil"/>
              <w:right w:val="nil"/>
            </w:tcBorders>
            <w:shd w:val="clear" w:color="auto" w:fill="auto"/>
            <w:noWrap/>
            <w:vAlign w:val="center"/>
            <w:hideMark/>
          </w:tcPr>
          <w:p w14:paraId="7AEEDCD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1.3</w:t>
            </w:r>
          </w:p>
        </w:tc>
      </w:tr>
      <w:tr w:rsidR="0091479B" w:rsidRPr="00966BD4" w14:paraId="29747734" w14:textId="77777777" w:rsidTr="0091479B">
        <w:trPr>
          <w:trHeight w:hRule="exact" w:val="225"/>
        </w:trPr>
        <w:tc>
          <w:tcPr>
            <w:tcW w:w="2182" w:type="pct"/>
            <w:tcBorders>
              <w:top w:val="nil"/>
              <w:left w:val="nil"/>
              <w:bottom w:val="nil"/>
              <w:right w:val="nil"/>
            </w:tcBorders>
            <w:shd w:val="clear" w:color="auto" w:fill="auto"/>
            <w:noWrap/>
            <w:vAlign w:val="center"/>
            <w:hideMark/>
          </w:tcPr>
          <w:p w14:paraId="2A2A3FF9"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Agricultural levies</w:t>
            </w:r>
          </w:p>
        </w:tc>
        <w:tc>
          <w:tcPr>
            <w:tcW w:w="727" w:type="pct"/>
            <w:tcBorders>
              <w:top w:val="nil"/>
              <w:left w:val="nil"/>
              <w:bottom w:val="nil"/>
              <w:right w:val="nil"/>
            </w:tcBorders>
            <w:shd w:val="clear" w:color="auto" w:fill="auto"/>
            <w:noWrap/>
            <w:vAlign w:val="center"/>
            <w:hideMark/>
          </w:tcPr>
          <w:p w14:paraId="31E50BB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591</w:t>
            </w:r>
          </w:p>
        </w:tc>
        <w:tc>
          <w:tcPr>
            <w:tcW w:w="727" w:type="pct"/>
            <w:tcBorders>
              <w:top w:val="nil"/>
              <w:left w:val="nil"/>
              <w:bottom w:val="nil"/>
              <w:right w:val="nil"/>
            </w:tcBorders>
            <w:shd w:val="clear" w:color="000000" w:fill="E6F2FF"/>
            <w:noWrap/>
            <w:vAlign w:val="center"/>
            <w:hideMark/>
          </w:tcPr>
          <w:p w14:paraId="3AFF90F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586</w:t>
            </w:r>
          </w:p>
        </w:tc>
        <w:tc>
          <w:tcPr>
            <w:tcW w:w="51" w:type="pct"/>
            <w:tcBorders>
              <w:top w:val="nil"/>
              <w:left w:val="nil"/>
              <w:bottom w:val="nil"/>
              <w:right w:val="nil"/>
            </w:tcBorders>
            <w:shd w:val="clear" w:color="auto" w:fill="auto"/>
            <w:noWrap/>
            <w:vAlign w:val="center"/>
            <w:hideMark/>
          </w:tcPr>
          <w:p w14:paraId="796A69D7"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26B49D5" w14:textId="71B960B7"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5</w:t>
            </w:r>
          </w:p>
        </w:tc>
        <w:tc>
          <w:tcPr>
            <w:tcW w:w="657" w:type="pct"/>
            <w:tcBorders>
              <w:top w:val="nil"/>
              <w:left w:val="nil"/>
              <w:bottom w:val="nil"/>
              <w:right w:val="nil"/>
            </w:tcBorders>
            <w:shd w:val="clear" w:color="auto" w:fill="auto"/>
            <w:noWrap/>
            <w:vAlign w:val="center"/>
            <w:hideMark/>
          </w:tcPr>
          <w:p w14:paraId="68FC1312" w14:textId="3DAF99BD"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0.9</w:t>
            </w:r>
          </w:p>
        </w:tc>
      </w:tr>
      <w:tr w:rsidR="0091479B" w:rsidRPr="00966BD4" w14:paraId="7E3B4D3A"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40DD251"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Visa application charges(b)</w:t>
            </w:r>
          </w:p>
        </w:tc>
        <w:tc>
          <w:tcPr>
            <w:tcW w:w="727" w:type="pct"/>
            <w:tcBorders>
              <w:top w:val="nil"/>
              <w:left w:val="nil"/>
              <w:bottom w:val="nil"/>
              <w:right w:val="nil"/>
            </w:tcBorders>
            <w:shd w:val="clear" w:color="auto" w:fill="auto"/>
            <w:noWrap/>
            <w:vAlign w:val="center"/>
            <w:hideMark/>
          </w:tcPr>
          <w:p w14:paraId="514A51C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2,867</w:t>
            </w:r>
          </w:p>
        </w:tc>
        <w:tc>
          <w:tcPr>
            <w:tcW w:w="727" w:type="pct"/>
            <w:tcBorders>
              <w:top w:val="nil"/>
              <w:left w:val="nil"/>
              <w:bottom w:val="nil"/>
              <w:right w:val="nil"/>
            </w:tcBorders>
            <w:shd w:val="clear" w:color="000000" w:fill="E6F2FF"/>
            <w:noWrap/>
            <w:vAlign w:val="center"/>
            <w:hideMark/>
          </w:tcPr>
          <w:p w14:paraId="2B2F3B5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3,125</w:t>
            </w:r>
          </w:p>
        </w:tc>
        <w:tc>
          <w:tcPr>
            <w:tcW w:w="51" w:type="pct"/>
            <w:tcBorders>
              <w:top w:val="nil"/>
              <w:left w:val="nil"/>
              <w:bottom w:val="nil"/>
              <w:right w:val="nil"/>
            </w:tcBorders>
            <w:shd w:val="clear" w:color="auto" w:fill="auto"/>
            <w:noWrap/>
            <w:vAlign w:val="center"/>
            <w:hideMark/>
          </w:tcPr>
          <w:p w14:paraId="4E047DD4"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D5C063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257</w:t>
            </w:r>
          </w:p>
        </w:tc>
        <w:tc>
          <w:tcPr>
            <w:tcW w:w="657" w:type="pct"/>
            <w:tcBorders>
              <w:top w:val="nil"/>
              <w:left w:val="nil"/>
              <w:bottom w:val="nil"/>
              <w:right w:val="nil"/>
            </w:tcBorders>
            <w:shd w:val="clear" w:color="auto" w:fill="auto"/>
            <w:noWrap/>
            <w:vAlign w:val="center"/>
            <w:hideMark/>
          </w:tcPr>
          <w:p w14:paraId="6E66F113"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9.0</w:t>
            </w:r>
          </w:p>
        </w:tc>
      </w:tr>
      <w:tr w:rsidR="0091479B" w:rsidRPr="00966BD4" w14:paraId="5B91439E"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40E967E"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Other taxes(b)</w:t>
            </w:r>
          </w:p>
        </w:tc>
        <w:tc>
          <w:tcPr>
            <w:tcW w:w="727" w:type="pct"/>
            <w:tcBorders>
              <w:top w:val="nil"/>
              <w:left w:val="nil"/>
              <w:bottom w:val="nil"/>
              <w:right w:val="nil"/>
            </w:tcBorders>
            <w:shd w:val="clear" w:color="000000" w:fill="FFFFFF"/>
            <w:noWrap/>
            <w:vAlign w:val="center"/>
            <w:hideMark/>
          </w:tcPr>
          <w:p w14:paraId="7EB03351"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4,762</w:t>
            </w:r>
          </w:p>
        </w:tc>
        <w:tc>
          <w:tcPr>
            <w:tcW w:w="727" w:type="pct"/>
            <w:tcBorders>
              <w:top w:val="nil"/>
              <w:left w:val="nil"/>
              <w:bottom w:val="nil"/>
              <w:right w:val="nil"/>
            </w:tcBorders>
            <w:shd w:val="clear" w:color="000000" w:fill="E6F2FF"/>
            <w:noWrap/>
            <w:vAlign w:val="center"/>
            <w:hideMark/>
          </w:tcPr>
          <w:p w14:paraId="48AD989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4,745</w:t>
            </w:r>
          </w:p>
        </w:tc>
        <w:tc>
          <w:tcPr>
            <w:tcW w:w="51" w:type="pct"/>
            <w:tcBorders>
              <w:top w:val="nil"/>
              <w:left w:val="nil"/>
              <w:bottom w:val="nil"/>
              <w:right w:val="nil"/>
            </w:tcBorders>
            <w:shd w:val="clear" w:color="auto" w:fill="auto"/>
            <w:noWrap/>
            <w:vAlign w:val="center"/>
            <w:hideMark/>
          </w:tcPr>
          <w:p w14:paraId="46C2F37A"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0037260" w14:textId="517685E4"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17</w:t>
            </w:r>
          </w:p>
        </w:tc>
        <w:tc>
          <w:tcPr>
            <w:tcW w:w="657" w:type="pct"/>
            <w:tcBorders>
              <w:top w:val="nil"/>
              <w:left w:val="nil"/>
              <w:bottom w:val="nil"/>
              <w:right w:val="nil"/>
            </w:tcBorders>
            <w:shd w:val="clear" w:color="auto" w:fill="auto"/>
            <w:noWrap/>
            <w:vAlign w:val="center"/>
            <w:hideMark/>
          </w:tcPr>
          <w:p w14:paraId="5F47ABA8" w14:textId="2AD2679A" w:rsidR="0091479B" w:rsidRPr="00966BD4" w:rsidRDefault="001B77CF" w:rsidP="0091479B">
            <w:pPr>
              <w:spacing w:before="0" w:after="0" w:line="240" w:lineRule="auto"/>
              <w:jc w:val="right"/>
              <w:rPr>
                <w:rFonts w:ascii="Arial" w:hAnsi="Arial" w:cs="Arial"/>
                <w:sz w:val="16"/>
                <w:szCs w:val="16"/>
              </w:rPr>
            </w:pPr>
            <w:r>
              <w:rPr>
                <w:rFonts w:ascii="Arial" w:hAnsi="Arial" w:cs="Arial"/>
                <w:sz w:val="16"/>
                <w:szCs w:val="16"/>
              </w:rPr>
              <w:noBreakHyphen/>
            </w:r>
            <w:r w:rsidR="0091479B" w:rsidRPr="00966BD4">
              <w:rPr>
                <w:rFonts w:ascii="Arial" w:hAnsi="Arial" w:cs="Arial"/>
                <w:sz w:val="16"/>
                <w:szCs w:val="16"/>
              </w:rPr>
              <w:t>0.3</w:t>
            </w:r>
          </w:p>
        </w:tc>
      </w:tr>
      <w:tr w:rsidR="0091479B" w:rsidRPr="00966BD4" w14:paraId="0109EF5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6EDBDA57"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Indirect taxation receipts</w:t>
            </w:r>
          </w:p>
        </w:tc>
        <w:tc>
          <w:tcPr>
            <w:tcW w:w="727" w:type="pct"/>
            <w:tcBorders>
              <w:top w:val="single" w:sz="4" w:space="0" w:color="293F5B"/>
              <w:left w:val="nil"/>
              <w:bottom w:val="single" w:sz="4" w:space="0" w:color="293F5B"/>
              <w:right w:val="nil"/>
            </w:tcBorders>
            <w:shd w:val="clear" w:color="000000" w:fill="FFFFFF"/>
            <w:noWrap/>
            <w:vAlign w:val="center"/>
            <w:hideMark/>
          </w:tcPr>
          <w:p w14:paraId="03542290"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143,672</w:t>
            </w:r>
          </w:p>
        </w:tc>
        <w:tc>
          <w:tcPr>
            <w:tcW w:w="727" w:type="pct"/>
            <w:tcBorders>
              <w:top w:val="single" w:sz="4" w:space="0" w:color="293F5B"/>
              <w:left w:val="nil"/>
              <w:bottom w:val="single" w:sz="4" w:space="0" w:color="293F5B"/>
              <w:right w:val="nil"/>
            </w:tcBorders>
            <w:shd w:val="clear" w:color="000000" w:fill="E6F2FF"/>
            <w:noWrap/>
            <w:vAlign w:val="center"/>
            <w:hideMark/>
          </w:tcPr>
          <w:p w14:paraId="4DBE919A"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145,325</w:t>
            </w:r>
          </w:p>
        </w:tc>
        <w:tc>
          <w:tcPr>
            <w:tcW w:w="51" w:type="pct"/>
            <w:tcBorders>
              <w:top w:val="nil"/>
              <w:left w:val="nil"/>
              <w:bottom w:val="nil"/>
              <w:right w:val="nil"/>
            </w:tcBorders>
            <w:shd w:val="clear" w:color="auto" w:fill="auto"/>
            <w:noWrap/>
            <w:vAlign w:val="center"/>
            <w:hideMark/>
          </w:tcPr>
          <w:p w14:paraId="22E4AFFE" w14:textId="77777777" w:rsidR="0091479B" w:rsidRPr="00966BD4" w:rsidRDefault="0091479B" w:rsidP="0091479B">
            <w:pPr>
              <w:spacing w:before="0" w:after="0" w:line="240" w:lineRule="auto"/>
              <w:jc w:val="right"/>
              <w:rPr>
                <w:rFonts w:ascii="Arial" w:hAnsi="Arial" w:cs="Arial"/>
                <w:b/>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3A407519"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1,654</w:t>
            </w:r>
          </w:p>
        </w:tc>
        <w:tc>
          <w:tcPr>
            <w:tcW w:w="657" w:type="pct"/>
            <w:tcBorders>
              <w:top w:val="single" w:sz="4" w:space="0" w:color="293F5B"/>
              <w:left w:val="nil"/>
              <w:bottom w:val="single" w:sz="4" w:space="0" w:color="293F5B"/>
              <w:right w:val="nil"/>
            </w:tcBorders>
            <w:shd w:val="clear" w:color="auto" w:fill="auto"/>
            <w:noWrap/>
            <w:vAlign w:val="center"/>
            <w:hideMark/>
          </w:tcPr>
          <w:p w14:paraId="55D9010B"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1.2</w:t>
            </w:r>
          </w:p>
        </w:tc>
      </w:tr>
      <w:tr w:rsidR="0091479B" w:rsidRPr="00966BD4" w14:paraId="14C99BAA" w14:textId="77777777" w:rsidTr="0091479B">
        <w:trPr>
          <w:trHeight w:hRule="exact" w:val="225"/>
        </w:trPr>
        <w:tc>
          <w:tcPr>
            <w:tcW w:w="2182" w:type="pct"/>
            <w:tcBorders>
              <w:top w:val="nil"/>
              <w:left w:val="nil"/>
              <w:bottom w:val="nil"/>
              <w:right w:val="nil"/>
            </w:tcBorders>
            <w:shd w:val="clear" w:color="auto" w:fill="auto"/>
            <w:noWrap/>
            <w:vAlign w:val="center"/>
            <w:hideMark/>
          </w:tcPr>
          <w:p w14:paraId="752FCF78"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Taxation receipts</w:t>
            </w:r>
          </w:p>
        </w:tc>
        <w:tc>
          <w:tcPr>
            <w:tcW w:w="727" w:type="pct"/>
            <w:tcBorders>
              <w:top w:val="nil"/>
              <w:left w:val="nil"/>
              <w:bottom w:val="single" w:sz="4" w:space="0" w:color="293F5B"/>
              <w:right w:val="nil"/>
            </w:tcBorders>
            <w:shd w:val="clear" w:color="000000" w:fill="FFFFFF"/>
            <w:noWrap/>
            <w:vAlign w:val="center"/>
            <w:hideMark/>
          </w:tcPr>
          <w:p w14:paraId="463719E4"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574,292</w:t>
            </w:r>
          </w:p>
        </w:tc>
        <w:tc>
          <w:tcPr>
            <w:tcW w:w="727" w:type="pct"/>
            <w:tcBorders>
              <w:top w:val="nil"/>
              <w:left w:val="nil"/>
              <w:bottom w:val="single" w:sz="4" w:space="0" w:color="293F5B"/>
              <w:right w:val="nil"/>
            </w:tcBorders>
            <w:shd w:val="clear" w:color="000000" w:fill="E6F2FF"/>
            <w:noWrap/>
            <w:vAlign w:val="center"/>
            <w:hideMark/>
          </w:tcPr>
          <w:p w14:paraId="4AE92967"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616,275</w:t>
            </w:r>
          </w:p>
        </w:tc>
        <w:tc>
          <w:tcPr>
            <w:tcW w:w="51" w:type="pct"/>
            <w:tcBorders>
              <w:top w:val="nil"/>
              <w:left w:val="nil"/>
              <w:bottom w:val="nil"/>
              <w:right w:val="nil"/>
            </w:tcBorders>
            <w:shd w:val="clear" w:color="auto" w:fill="auto"/>
            <w:noWrap/>
            <w:vAlign w:val="center"/>
            <w:hideMark/>
          </w:tcPr>
          <w:p w14:paraId="6DE62BA2" w14:textId="77777777" w:rsidR="0091479B" w:rsidRPr="00966BD4" w:rsidRDefault="0091479B" w:rsidP="0091479B">
            <w:pPr>
              <w:spacing w:before="0" w:after="0" w:line="240" w:lineRule="auto"/>
              <w:jc w:val="right"/>
              <w:rPr>
                <w:rFonts w:ascii="Arial" w:hAnsi="Arial" w:cs="Arial"/>
                <w:b/>
                <w:sz w:val="16"/>
                <w:szCs w:val="16"/>
              </w:rPr>
            </w:pPr>
          </w:p>
        </w:tc>
        <w:tc>
          <w:tcPr>
            <w:tcW w:w="657" w:type="pct"/>
            <w:tcBorders>
              <w:top w:val="nil"/>
              <w:left w:val="nil"/>
              <w:bottom w:val="single" w:sz="4" w:space="0" w:color="293F5B"/>
              <w:right w:val="nil"/>
            </w:tcBorders>
            <w:shd w:val="clear" w:color="auto" w:fill="auto"/>
            <w:noWrap/>
            <w:vAlign w:val="center"/>
            <w:hideMark/>
          </w:tcPr>
          <w:p w14:paraId="3224D02D"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41,984</w:t>
            </w:r>
          </w:p>
        </w:tc>
        <w:tc>
          <w:tcPr>
            <w:tcW w:w="657" w:type="pct"/>
            <w:tcBorders>
              <w:top w:val="nil"/>
              <w:left w:val="nil"/>
              <w:bottom w:val="single" w:sz="4" w:space="0" w:color="293F5B"/>
              <w:right w:val="nil"/>
            </w:tcBorders>
            <w:shd w:val="clear" w:color="auto" w:fill="auto"/>
            <w:noWrap/>
            <w:vAlign w:val="center"/>
            <w:hideMark/>
          </w:tcPr>
          <w:p w14:paraId="49531E98"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7.3</w:t>
            </w:r>
          </w:p>
        </w:tc>
      </w:tr>
      <w:tr w:rsidR="0091479B" w:rsidRPr="00966BD4" w14:paraId="52C8F4C4" w14:textId="77777777" w:rsidTr="0091479B">
        <w:trPr>
          <w:trHeight w:hRule="exact" w:val="60"/>
        </w:trPr>
        <w:tc>
          <w:tcPr>
            <w:tcW w:w="2182" w:type="pct"/>
            <w:tcBorders>
              <w:top w:val="nil"/>
              <w:left w:val="nil"/>
              <w:bottom w:val="nil"/>
              <w:right w:val="nil"/>
            </w:tcBorders>
            <w:shd w:val="clear" w:color="auto" w:fill="auto"/>
            <w:noWrap/>
            <w:vAlign w:val="center"/>
            <w:hideMark/>
          </w:tcPr>
          <w:p w14:paraId="1565988F" w14:textId="77777777" w:rsidR="0091479B" w:rsidRPr="00966BD4" w:rsidRDefault="0091479B" w:rsidP="0091479B">
            <w:pPr>
              <w:spacing w:before="0" w:after="0" w:line="240" w:lineRule="auto"/>
              <w:jc w:val="right"/>
              <w:rPr>
                <w:rFonts w:ascii="Arial" w:hAnsi="Arial" w:cs="Arial"/>
                <w:b/>
                <w:sz w:val="16"/>
                <w:szCs w:val="16"/>
              </w:rPr>
            </w:pPr>
          </w:p>
        </w:tc>
        <w:tc>
          <w:tcPr>
            <w:tcW w:w="727" w:type="pct"/>
            <w:tcBorders>
              <w:top w:val="nil"/>
              <w:left w:val="nil"/>
              <w:bottom w:val="nil"/>
              <w:right w:val="nil"/>
            </w:tcBorders>
            <w:shd w:val="clear" w:color="000000" w:fill="FFFFFF"/>
            <w:noWrap/>
            <w:vAlign w:val="center"/>
            <w:hideMark/>
          </w:tcPr>
          <w:p w14:paraId="759A6A95"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 </w:t>
            </w:r>
          </w:p>
        </w:tc>
        <w:tc>
          <w:tcPr>
            <w:tcW w:w="727" w:type="pct"/>
            <w:tcBorders>
              <w:top w:val="nil"/>
              <w:left w:val="nil"/>
              <w:bottom w:val="nil"/>
              <w:right w:val="nil"/>
            </w:tcBorders>
            <w:shd w:val="clear" w:color="000000" w:fill="E6F2FF"/>
            <w:noWrap/>
            <w:vAlign w:val="center"/>
            <w:hideMark/>
          </w:tcPr>
          <w:p w14:paraId="3FF7BEA7"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 </w:t>
            </w:r>
          </w:p>
        </w:tc>
        <w:tc>
          <w:tcPr>
            <w:tcW w:w="51" w:type="pct"/>
            <w:tcBorders>
              <w:top w:val="nil"/>
              <w:left w:val="nil"/>
              <w:bottom w:val="nil"/>
              <w:right w:val="nil"/>
            </w:tcBorders>
            <w:shd w:val="clear" w:color="auto" w:fill="auto"/>
            <w:noWrap/>
            <w:vAlign w:val="center"/>
            <w:hideMark/>
          </w:tcPr>
          <w:p w14:paraId="1E59F57F" w14:textId="77777777" w:rsidR="0091479B" w:rsidRPr="00966BD4" w:rsidRDefault="0091479B" w:rsidP="0091479B">
            <w:pPr>
              <w:spacing w:before="0" w:after="0" w:line="240" w:lineRule="auto"/>
              <w:rPr>
                <w:rFonts w:ascii="Arial" w:hAnsi="Arial" w:cs="Arial"/>
                <w:b/>
                <w:sz w:val="16"/>
                <w:szCs w:val="16"/>
              </w:rPr>
            </w:pPr>
          </w:p>
        </w:tc>
        <w:tc>
          <w:tcPr>
            <w:tcW w:w="657" w:type="pct"/>
            <w:tcBorders>
              <w:top w:val="nil"/>
              <w:left w:val="nil"/>
              <w:bottom w:val="nil"/>
              <w:right w:val="nil"/>
            </w:tcBorders>
            <w:shd w:val="clear" w:color="auto" w:fill="auto"/>
            <w:noWrap/>
            <w:vAlign w:val="center"/>
            <w:hideMark/>
          </w:tcPr>
          <w:p w14:paraId="7C2BC108" w14:textId="77777777" w:rsidR="0091479B" w:rsidRPr="00966BD4" w:rsidRDefault="0091479B" w:rsidP="0091479B">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35993D14" w14:textId="77777777" w:rsidR="0091479B" w:rsidRPr="00966BD4" w:rsidRDefault="0091479B" w:rsidP="0091479B">
            <w:pPr>
              <w:spacing w:before="0" w:after="0" w:line="240" w:lineRule="auto"/>
              <w:jc w:val="right"/>
              <w:rPr>
                <w:rFonts w:ascii="Times New Roman" w:hAnsi="Times New Roman"/>
                <w:sz w:val="20"/>
              </w:rPr>
            </w:pPr>
          </w:p>
        </w:tc>
      </w:tr>
      <w:tr w:rsidR="0091479B" w:rsidRPr="00966BD4" w14:paraId="5031A08F"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262EE81"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Sales of goods and services</w:t>
            </w:r>
          </w:p>
        </w:tc>
        <w:tc>
          <w:tcPr>
            <w:tcW w:w="727" w:type="pct"/>
            <w:tcBorders>
              <w:top w:val="nil"/>
              <w:left w:val="nil"/>
              <w:bottom w:val="nil"/>
              <w:right w:val="nil"/>
            </w:tcBorders>
            <w:shd w:val="clear" w:color="000000" w:fill="FFFFFF"/>
            <w:noWrap/>
            <w:vAlign w:val="center"/>
            <w:hideMark/>
          </w:tcPr>
          <w:p w14:paraId="28648289"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19,594</w:t>
            </w:r>
          </w:p>
        </w:tc>
        <w:tc>
          <w:tcPr>
            <w:tcW w:w="727" w:type="pct"/>
            <w:tcBorders>
              <w:top w:val="nil"/>
              <w:left w:val="nil"/>
              <w:bottom w:val="nil"/>
              <w:right w:val="nil"/>
            </w:tcBorders>
            <w:shd w:val="clear" w:color="000000" w:fill="E6F2FF"/>
            <w:noWrap/>
            <w:vAlign w:val="center"/>
            <w:hideMark/>
          </w:tcPr>
          <w:p w14:paraId="32F09A0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20,792</w:t>
            </w:r>
          </w:p>
        </w:tc>
        <w:tc>
          <w:tcPr>
            <w:tcW w:w="51" w:type="pct"/>
            <w:tcBorders>
              <w:top w:val="nil"/>
              <w:left w:val="nil"/>
              <w:bottom w:val="nil"/>
              <w:right w:val="nil"/>
            </w:tcBorders>
            <w:shd w:val="clear" w:color="auto" w:fill="auto"/>
            <w:noWrap/>
            <w:vAlign w:val="center"/>
            <w:hideMark/>
          </w:tcPr>
          <w:p w14:paraId="53523B10"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4B0AEF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1,199</w:t>
            </w:r>
          </w:p>
        </w:tc>
        <w:tc>
          <w:tcPr>
            <w:tcW w:w="657" w:type="pct"/>
            <w:tcBorders>
              <w:top w:val="nil"/>
              <w:left w:val="nil"/>
              <w:bottom w:val="nil"/>
              <w:right w:val="nil"/>
            </w:tcBorders>
            <w:shd w:val="clear" w:color="auto" w:fill="auto"/>
            <w:noWrap/>
            <w:vAlign w:val="center"/>
            <w:hideMark/>
          </w:tcPr>
          <w:p w14:paraId="59348DD2"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6.1</w:t>
            </w:r>
          </w:p>
        </w:tc>
      </w:tr>
      <w:tr w:rsidR="0091479B" w:rsidRPr="00966BD4" w14:paraId="70684E4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1AE95DAD"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Interest received</w:t>
            </w:r>
          </w:p>
        </w:tc>
        <w:tc>
          <w:tcPr>
            <w:tcW w:w="727" w:type="pct"/>
            <w:tcBorders>
              <w:top w:val="nil"/>
              <w:left w:val="nil"/>
              <w:bottom w:val="nil"/>
              <w:right w:val="nil"/>
            </w:tcBorders>
            <w:shd w:val="clear" w:color="000000" w:fill="FFFFFF"/>
            <w:noWrap/>
            <w:vAlign w:val="center"/>
            <w:hideMark/>
          </w:tcPr>
          <w:p w14:paraId="05BB7384"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5,805</w:t>
            </w:r>
          </w:p>
        </w:tc>
        <w:tc>
          <w:tcPr>
            <w:tcW w:w="727" w:type="pct"/>
            <w:tcBorders>
              <w:top w:val="nil"/>
              <w:left w:val="nil"/>
              <w:bottom w:val="nil"/>
              <w:right w:val="nil"/>
            </w:tcBorders>
            <w:shd w:val="clear" w:color="000000" w:fill="E6F2FF"/>
            <w:noWrap/>
            <w:vAlign w:val="center"/>
            <w:hideMark/>
          </w:tcPr>
          <w:p w14:paraId="034B553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7,654</w:t>
            </w:r>
          </w:p>
        </w:tc>
        <w:tc>
          <w:tcPr>
            <w:tcW w:w="51" w:type="pct"/>
            <w:tcBorders>
              <w:top w:val="nil"/>
              <w:left w:val="nil"/>
              <w:bottom w:val="nil"/>
              <w:right w:val="nil"/>
            </w:tcBorders>
            <w:shd w:val="clear" w:color="auto" w:fill="auto"/>
            <w:noWrap/>
            <w:vAlign w:val="center"/>
            <w:hideMark/>
          </w:tcPr>
          <w:p w14:paraId="7C11C72B"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112BDCD"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1,848</w:t>
            </w:r>
          </w:p>
        </w:tc>
        <w:tc>
          <w:tcPr>
            <w:tcW w:w="657" w:type="pct"/>
            <w:tcBorders>
              <w:top w:val="nil"/>
              <w:left w:val="nil"/>
              <w:bottom w:val="nil"/>
              <w:right w:val="nil"/>
            </w:tcBorders>
            <w:shd w:val="clear" w:color="auto" w:fill="auto"/>
            <w:noWrap/>
            <w:vAlign w:val="center"/>
            <w:hideMark/>
          </w:tcPr>
          <w:p w14:paraId="570831B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31.8</w:t>
            </w:r>
          </w:p>
        </w:tc>
      </w:tr>
      <w:tr w:rsidR="0091479B" w:rsidRPr="00966BD4" w14:paraId="0EF41619" w14:textId="77777777" w:rsidTr="0091479B">
        <w:trPr>
          <w:trHeight w:hRule="exact" w:val="225"/>
        </w:trPr>
        <w:tc>
          <w:tcPr>
            <w:tcW w:w="2182" w:type="pct"/>
            <w:tcBorders>
              <w:top w:val="nil"/>
              <w:left w:val="nil"/>
              <w:bottom w:val="nil"/>
              <w:right w:val="nil"/>
            </w:tcBorders>
            <w:shd w:val="clear" w:color="auto" w:fill="auto"/>
            <w:noWrap/>
            <w:vAlign w:val="center"/>
            <w:hideMark/>
          </w:tcPr>
          <w:p w14:paraId="6C903CAE" w14:textId="77777777"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Dividends and distributions</w:t>
            </w:r>
          </w:p>
        </w:tc>
        <w:tc>
          <w:tcPr>
            <w:tcW w:w="727" w:type="pct"/>
            <w:tcBorders>
              <w:top w:val="nil"/>
              <w:left w:val="nil"/>
              <w:bottom w:val="nil"/>
              <w:right w:val="nil"/>
            </w:tcBorders>
            <w:shd w:val="clear" w:color="000000" w:fill="FFFFFF"/>
            <w:noWrap/>
            <w:vAlign w:val="center"/>
            <w:hideMark/>
          </w:tcPr>
          <w:p w14:paraId="7474CA4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6,150</w:t>
            </w:r>
          </w:p>
        </w:tc>
        <w:tc>
          <w:tcPr>
            <w:tcW w:w="727" w:type="pct"/>
            <w:tcBorders>
              <w:top w:val="nil"/>
              <w:left w:val="nil"/>
              <w:bottom w:val="nil"/>
              <w:right w:val="nil"/>
            </w:tcBorders>
            <w:shd w:val="clear" w:color="000000" w:fill="E6F2FF"/>
            <w:noWrap/>
            <w:vAlign w:val="center"/>
            <w:hideMark/>
          </w:tcPr>
          <w:p w14:paraId="3F811BBA"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6,889</w:t>
            </w:r>
          </w:p>
        </w:tc>
        <w:tc>
          <w:tcPr>
            <w:tcW w:w="51" w:type="pct"/>
            <w:tcBorders>
              <w:top w:val="nil"/>
              <w:left w:val="nil"/>
              <w:bottom w:val="nil"/>
              <w:right w:val="nil"/>
            </w:tcBorders>
            <w:shd w:val="clear" w:color="auto" w:fill="auto"/>
            <w:noWrap/>
            <w:vAlign w:val="center"/>
            <w:hideMark/>
          </w:tcPr>
          <w:p w14:paraId="571173E1"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3975940"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738</w:t>
            </w:r>
          </w:p>
        </w:tc>
        <w:tc>
          <w:tcPr>
            <w:tcW w:w="657" w:type="pct"/>
            <w:tcBorders>
              <w:top w:val="nil"/>
              <w:left w:val="nil"/>
              <w:bottom w:val="nil"/>
              <w:right w:val="nil"/>
            </w:tcBorders>
            <w:shd w:val="clear" w:color="auto" w:fill="auto"/>
            <w:noWrap/>
            <w:vAlign w:val="center"/>
            <w:hideMark/>
          </w:tcPr>
          <w:p w14:paraId="7047D645"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12.0</w:t>
            </w:r>
          </w:p>
        </w:tc>
      </w:tr>
      <w:tr w:rsidR="0091479B" w:rsidRPr="00966BD4" w14:paraId="45DC2587"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5006877" w14:textId="158523AB" w:rsidR="0091479B" w:rsidRPr="00966BD4" w:rsidRDefault="0091479B" w:rsidP="0091479B">
            <w:pPr>
              <w:spacing w:before="0" w:after="0" w:line="240" w:lineRule="auto"/>
              <w:rPr>
                <w:rFonts w:ascii="Arial" w:hAnsi="Arial" w:cs="Arial"/>
                <w:sz w:val="16"/>
                <w:szCs w:val="16"/>
              </w:rPr>
            </w:pPr>
            <w:r w:rsidRPr="00966BD4">
              <w:rPr>
                <w:rFonts w:ascii="Arial" w:hAnsi="Arial" w:cs="Arial"/>
                <w:sz w:val="16"/>
                <w:szCs w:val="16"/>
              </w:rPr>
              <w:t>Other non</w:t>
            </w:r>
            <w:r w:rsidR="001B77CF">
              <w:rPr>
                <w:rFonts w:ascii="Arial" w:hAnsi="Arial" w:cs="Arial"/>
                <w:sz w:val="16"/>
                <w:szCs w:val="16"/>
              </w:rPr>
              <w:noBreakHyphen/>
            </w:r>
            <w:r w:rsidRPr="00966BD4">
              <w:rPr>
                <w:rFonts w:ascii="Arial" w:hAnsi="Arial" w:cs="Arial"/>
                <w:sz w:val="16"/>
                <w:szCs w:val="16"/>
              </w:rPr>
              <w:t>taxation receipts</w:t>
            </w:r>
          </w:p>
        </w:tc>
        <w:tc>
          <w:tcPr>
            <w:tcW w:w="727" w:type="pct"/>
            <w:tcBorders>
              <w:top w:val="nil"/>
              <w:left w:val="nil"/>
              <w:bottom w:val="nil"/>
              <w:right w:val="nil"/>
            </w:tcBorders>
            <w:shd w:val="clear" w:color="000000" w:fill="FFFFFF"/>
            <w:noWrap/>
            <w:vAlign w:val="center"/>
            <w:hideMark/>
          </w:tcPr>
          <w:p w14:paraId="3BB47D97"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15,600</w:t>
            </w:r>
          </w:p>
        </w:tc>
        <w:tc>
          <w:tcPr>
            <w:tcW w:w="727" w:type="pct"/>
            <w:tcBorders>
              <w:top w:val="nil"/>
              <w:left w:val="nil"/>
              <w:bottom w:val="nil"/>
              <w:right w:val="nil"/>
            </w:tcBorders>
            <w:shd w:val="clear" w:color="000000" w:fill="E6F2FF"/>
            <w:noWrap/>
            <w:vAlign w:val="center"/>
            <w:hideMark/>
          </w:tcPr>
          <w:p w14:paraId="1642D3F6"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16,532</w:t>
            </w:r>
          </w:p>
        </w:tc>
        <w:tc>
          <w:tcPr>
            <w:tcW w:w="51" w:type="pct"/>
            <w:tcBorders>
              <w:top w:val="nil"/>
              <w:left w:val="nil"/>
              <w:bottom w:val="nil"/>
              <w:right w:val="nil"/>
            </w:tcBorders>
            <w:shd w:val="clear" w:color="auto" w:fill="auto"/>
            <w:noWrap/>
            <w:vAlign w:val="center"/>
            <w:hideMark/>
          </w:tcPr>
          <w:p w14:paraId="1CCA507F" w14:textId="77777777" w:rsidR="0091479B" w:rsidRPr="00966BD4" w:rsidRDefault="0091479B" w:rsidP="0091479B">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87EE098"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932</w:t>
            </w:r>
          </w:p>
        </w:tc>
        <w:tc>
          <w:tcPr>
            <w:tcW w:w="657" w:type="pct"/>
            <w:tcBorders>
              <w:top w:val="nil"/>
              <w:left w:val="nil"/>
              <w:bottom w:val="nil"/>
              <w:right w:val="nil"/>
            </w:tcBorders>
            <w:shd w:val="clear" w:color="auto" w:fill="auto"/>
            <w:noWrap/>
            <w:vAlign w:val="center"/>
            <w:hideMark/>
          </w:tcPr>
          <w:p w14:paraId="567AF37F" w14:textId="77777777" w:rsidR="0091479B" w:rsidRPr="00966BD4" w:rsidRDefault="0091479B" w:rsidP="0091479B">
            <w:pPr>
              <w:spacing w:before="0" w:after="0" w:line="240" w:lineRule="auto"/>
              <w:jc w:val="right"/>
              <w:rPr>
                <w:rFonts w:ascii="Arial" w:hAnsi="Arial" w:cs="Arial"/>
                <w:sz w:val="16"/>
                <w:szCs w:val="16"/>
              </w:rPr>
            </w:pPr>
            <w:r w:rsidRPr="00966BD4">
              <w:rPr>
                <w:rFonts w:ascii="Arial" w:hAnsi="Arial" w:cs="Arial"/>
                <w:sz w:val="16"/>
                <w:szCs w:val="16"/>
              </w:rPr>
              <w:t>6.0</w:t>
            </w:r>
          </w:p>
        </w:tc>
      </w:tr>
      <w:tr w:rsidR="0091479B" w:rsidRPr="00966BD4" w14:paraId="0FD39D74" w14:textId="77777777" w:rsidTr="0091479B">
        <w:trPr>
          <w:trHeight w:hRule="exact" w:val="225"/>
        </w:trPr>
        <w:tc>
          <w:tcPr>
            <w:tcW w:w="2182" w:type="pct"/>
            <w:tcBorders>
              <w:top w:val="nil"/>
              <w:left w:val="nil"/>
              <w:bottom w:val="nil"/>
              <w:right w:val="nil"/>
            </w:tcBorders>
            <w:shd w:val="clear" w:color="auto" w:fill="auto"/>
            <w:noWrap/>
            <w:vAlign w:val="center"/>
            <w:hideMark/>
          </w:tcPr>
          <w:p w14:paraId="29989671" w14:textId="75992310"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Non</w:t>
            </w:r>
            <w:r w:rsidR="001B77CF">
              <w:rPr>
                <w:rFonts w:ascii="Arial" w:hAnsi="Arial" w:cs="Arial"/>
                <w:b/>
                <w:sz w:val="16"/>
                <w:szCs w:val="16"/>
              </w:rPr>
              <w:noBreakHyphen/>
            </w:r>
            <w:r w:rsidRPr="00966BD4">
              <w:rPr>
                <w:rFonts w:ascii="Arial" w:hAnsi="Arial" w:cs="Arial"/>
                <w:b/>
                <w:sz w:val="16"/>
                <w:szCs w:val="16"/>
              </w:rPr>
              <w:t>taxation receipts</w:t>
            </w:r>
          </w:p>
        </w:tc>
        <w:tc>
          <w:tcPr>
            <w:tcW w:w="727" w:type="pct"/>
            <w:tcBorders>
              <w:top w:val="single" w:sz="4" w:space="0" w:color="293F5B"/>
              <w:left w:val="nil"/>
              <w:bottom w:val="single" w:sz="4" w:space="0" w:color="293F5B"/>
              <w:right w:val="nil"/>
            </w:tcBorders>
            <w:shd w:val="clear" w:color="000000" w:fill="FFFFFF"/>
            <w:noWrap/>
            <w:vAlign w:val="center"/>
            <w:hideMark/>
          </w:tcPr>
          <w:p w14:paraId="5DD04431"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47,149</w:t>
            </w:r>
          </w:p>
        </w:tc>
        <w:tc>
          <w:tcPr>
            <w:tcW w:w="727" w:type="pct"/>
            <w:tcBorders>
              <w:top w:val="single" w:sz="4" w:space="0" w:color="293F5B"/>
              <w:left w:val="nil"/>
              <w:bottom w:val="single" w:sz="4" w:space="0" w:color="293F5B"/>
              <w:right w:val="nil"/>
            </w:tcBorders>
            <w:shd w:val="clear" w:color="000000" w:fill="E6F2FF"/>
            <w:noWrap/>
            <w:vAlign w:val="center"/>
            <w:hideMark/>
          </w:tcPr>
          <w:p w14:paraId="19D4EF29"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51,867</w:t>
            </w:r>
          </w:p>
        </w:tc>
        <w:tc>
          <w:tcPr>
            <w:tcW w:w="51" w:type="pct"/>
            <w:tcBorders>
              <w:top w:val="nil"/>
              <w:left w:val="nil"/>
              <w:bottom w:val="nil"/>
              <w:right w:val="nil"/>
            </w:tcBorders>
            <w:shd w:val="clear" w:color="auto" w:fill="auto"/>
            <w:noWrap/>
            <w:vAlign w:val="center"/>
            <w:hideMark/>
          </w:tcPr>
          <w:p w14:paraId="18E7A5D4" w14:textId="77777777" w:rsidR="0091479B" w:rsidRPr="00966BD4" w:rsidRDefault="0091479B" w:rsidP="0091479B">
            <w:pPr>
              <w:spacing w:before="0" w:after="0" w:line="240" w:lineRule="auto"/>
              <w:jc w:val="right"/>
              <w:rPr>
                <w:rFonts w:ascii="Arial" w:hAnsi="Arial" w:cs="Arial"/>
                <w:b/>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09D176C2"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4,717</w:t>
            </w:r>
          </w:p>
        </w:tc>
        <w:tc>
          <w:tcPr>
            <w:tcW w:w="657" w:type="pct"/>
            <w:tcBorders>
              <w:top w:val="single" w:sz="4" w:space="0" w:color="293F5B"/>
              <w:left w:val="nil"/>
              <w:bottom w:val="single" w:sz="4" w:space="0" w:color="293F5B"/>
              <w:right w:val="nil"/>
            </w:tcBorders>
            <w:shd w:val="clear" w:color="auto" w:fill="auto"/>
            <w:noWrap/>
            <w:vAlign w:val="center"/>
            <w:hideMark/>
          </w:tcPr>
          <w:p w14:paraId="43C5A18E"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10.0</w:t>
            </w:r>
          </w:p>
        </w:tc>
      </w:tr>
      <w:tr w:rsidR="0091479B" w:rsidRPr="00966BD4" w14:paraId="2C70DB21" w14:textId="77777777" w:rsidTr="0091479B">
        <w:trPr>
          <w:trHeight w:hRule="exact" w:val="225"/>
        </w:trPr>
        <w:tc>
          <w:tcPr>
            <w:tcW w:w="2182" w:type="pct"/>
            <w:tcBorders>
              <w:top w:val="nil"/>
              <w:left w:val="nil"/>
              <w:bottom w:val="single" w:sz="4" w:space="0" w:color="293F5B"/>
              <w:right w:val="nil"/>
            </w:tcBorders>
            <w:shd w:val="clear" w:color="auto" w:fill="auto"/>
            <w:noWrap/>
            <w:vAlign w:val="center"/>
            <w:hideMark/>
          </w:tcPr>
          <w:p w14:paraId="444C2EF3"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Total receipts</w:t>
            </w:r>
          </w:p>
        </w:tc>
        <w:tc>
          <w:tcPr>
            <w:tcW w:w="727" w:type="pct"/>
            <w:tcBorders>
              <w:top w:val="nil"/>
              <w:left w:val="nil"/>
              <w:bottom w:val="single" w:sz="4" w:space="0" w:color="293F5B"/>
              <w:right w:val="nil"/>
            </w:tcBorders>
            <w:shd w:val="clear" w:color="000000" w:fill="FFFFFF"/>
            <w:noWrap/>
            <w:vAlign w:val="center"/>
            <w:hideMark/>
          </w:tcPr>
          <w:p w14:paraId="39B208E1"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621,441</w:t>
            </w:r>
          </w:p>
        </w:tc>
        <w:tc>
          <w:tcPr>
            <w:tcW w:w="727" w:type="pct"/>
            <w:tcBorders>
              <w:top w:val="nil"/>
              <w:left w:val="nil"/>
              <w:bottom w:val="single" w:sz="4" w:space="0" w:color="293F5B"/>
              <w:right w:val="nil"/>
            </w:tcBorders>
            <w:shd w:val="clear" w:color="000000" w:fill="E6F2FF"/>
            <w:noWrap/>
            <w:vAlign w:val="center"/>
            <w:hideMark/>
          </w:tcPr>
          <w:p w14:paraId="7E0B6917"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668,142</w:t>
            </w:r>
          </w:p>
        </w:tc>
        <w:tc>
          <w:tcPr>
            <w:tcW w:w="51" w:type="pct"/>
            <w:tcBorders>
              <w:top w:val="nil"/>
              <w:left w:val="nil"/>
              <w:bottom w:val="single" w:sz="4" w:space="0" w:color="293F5B"/>
              <w:right w:val="nil"/>
            </w:tcBorders>
            <w:shd w:val="clear" w:color="auto" w:fill="auto"/>
            <w:noWrap/>
            <w:vAlign w:val="center"/>
            <w:hideMark/>
          </w:tcPr>
          <w:p w14:paraId="16CB90E4"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657" w:type="pct"/>
            <w:tcBorders>
              <w:top w:val="nil"/>
              <w:left w:val="nil"/>
              <w:bottom w:val="single" w:sz="4" w:space="0" w:color="293F5B"/>
              <w:right w:val="nil"/>
            </w:tcBorders>
            <w:shd w:val="clear" w:color="auto" w:fill="auto"/>
            <w:noWrap/>
            <w:vAlign w:val="center"/>
            <w:hideMark/>
          </w:tcPr>
          <w:p w14:paraId="1A824649"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46,701</w:t>
            </w:r>
          </w:p>
        </w:tc>
        <w:tc>
          <w:tcPr>
            <w:tcW w:w="657" w:type="pct"/>
            <w:tcBorders>
              <w:top w:val="nil"/>
              <w:left w:val="nil"/>
              <w:bottom w:val="single" w:sz="4" w:space="0" w:color="293F5B"/>
              <w:right w:val="nil"/>
            </w:tcBorders>
            <w:shd w:val="clear" w:color="auto" w:fill="auto"/>
            <w:noWrap/>
            <w:vAlign w:val="center"/>
            <w:hideMark/>
          </w:tcPr>
          <w:p w14:paraId="12CF0EA0"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7.5</w:t>
            </w:r>
          </w:p>
        </w:tc>
      </w:tr>
      <w:tr w:rsidR="0091479B" w:rsidRPr="00966BD4" w14:paraId="452C24F7" w14:textId="77777777" w:rsidTr="0091479B">
        <w:trPr>
          <w:trHeight w:hRule="exact" w:val="225"/>
        </w:trPr>
        <w:tc>
          <w:tcPr>
            <w:tcW w:w="2182" w:type="pct"/>
            <w:tcBorders>
              <w:top w:val="nil"/>
              <w:left w:val="nil"/>
              <w:bottom w:val="nil"/>
              <w:right w:val="nil"/>
            </w:tcBorders>
            <w:shd w:val="clear" w:color="auto" w:fill="auto"/>
            <w:noWrap/>
            <w:vAlign w:val="center"/>
            <w:hideMark/>
          </w:tcPr>
          <w:p w14:paraId="00935403" w14:textId="77777777" w:rsidR="0091479B" w:rsidRPr="00966BD4" w:rsidRDefault="0091479B" w:rsidP="0091479B">
            <w:pPr>
              <w:spacing w:before="0" w:after="0" w:line="240" w:lineRule="auto"/>
              <w:rPr>
                <w:rFonts w:ascii="Arial" w:hAnsi="Arial" w:cs="Arial"/>
                <w:i/>
                <w:sz w:val="16"/>
                <w:szCs w:val="16"/>
              </w:rPr>
            </w:pPr>
            <w:r w:rsidRPr="00966BD4">
              <w:rPr>
                <w:rFonts w:ascii="Arial" w:hAnsi="Arial" w:cs="Arial"/>
                <w:i/>
                <w:sz w:val="16"/>
                <w:szCs w:val="16"/>
              </w:rPr>
              <w:t>Memorandum:</w:t>
            </w:r>
          </w:p>
        </w:tc>
        <w:tc>
          <w:tcPr>
            <w:tcW w:w="727" w:type="pct"/>
            <w:tcBorders>
              <w:top w:val="nil"/>
              <w:left w:val="nil"/>
              <w:bottom w:val="nil"/>
              <w:right w:val="nil"/>
            </w:tcBorders>
            <w:shd w:val="clear" w:color="000000" w:fill="FFFFFF"/>
            <w:noWrap/>
            <w:vAlign w:val="center"/>
            <w:hideMark/>
          </w:tcPr>
          <w:p w14:paraId="2F0AB475" w14:textId="77777777" w:rsidR="0091479B" w:rsidRPr="00966BD4" w:rsidRDefault="0091479B" w:rsidP="0091479B">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727" w:type="pct"/>
            <w:tcBorders>
              <w:top w:val="nil"/>
              <w:left w:val="nil"/>
              <w:bottom w:val="nil"/>
              <w:right w:val="nil"/>
            </w:tcBorders>
            <w:shd w:val="clear" w:color="000000" w:fill="E6F2FF"/>
            <w:noWrap/>
            <w:vAlign w:val="center"/>
            <w:hideMark/>
          </w:tcPr>
          <w:p w14:paraId="48B9BD47" w14:textId="77777777" w:rsidR="0091479B" w:rsidRPr="00966BD4" w:rsidRDefault="0091479B" w:rsidP="0091479B">
            <w:pPr>
              <w:spacing w:before="0" w:after="0" w:line="240" w:lineRule="auto"/>
              <w:rPr>
                <w:rFonts w:ascii="Arial" w:hAnsi="Arial" w:cs="Arial"/>
                <w:b/>
                <w:sz w:val="16"/>
                <w:szCs w:val="16"/>
              </w:rPr>
            </w:pPr>
            <w:r w:rsidRPr="00966BD4">
              <w:rPr>
                <w:rFonts w:ascii="Arial" w:hAnsi="Arial" w:cs="Arial"/>
                <w:b/>
                <w:sz w:val="16"/>
                <w:szCs w:val="16"/>
              </w:rPr>
              <w:t> </w:t>
            </w:r>
          </w:p>
        </w:tc>
        <w:tc>
          <w:tcPr>
            <w:tcW w:w="51" w:type="pct"/>
            <w:tcBorders>
              <w:top w:val="nil"/>
              <w:left w:val="nil"/>
              <w:bottom w:val="nil"/>
              <w:right w:val="nil"/>
            </w:tcBorders>
            <w:shd w:val="clear" w:color="auto" w:fill="auto"/>
            <w:noWrap/>
            <w:vAlign w:val="center"/>
            <w:hideMark/>
          </w:tcPr>
          <w:p w14:paraId="189F2ACB" w14:textId="77777777" w:rsidR="0091479B" w:rsidRPr="00966BD4" w:rsidRDefault="0091479B" w:rsidP="0091479B">
            <w:pPr>
              <w:spacing w:before="0" w:after="0" w:line="240" w:lineRule="auto"/>
              <w:rPr>
                <w:rFonts w:ascii="Arial" w:hAnsi="Arial" w:cs="Arial"/>
                <w:b/>
                <w:sz w:val="16"/>
                <w:szCs w:val="16"/>
              </w:rPr>
            </w:pPr>
          </w:p>
        </w:tc>
        <w:tc>
          <w:tcPr>
            <w:tcW w:w="657" w:type="pct"/>
            <w:tcBorders>
              <w:top w:val="nil"/>
              <w:left w:val="nil"/>
              <w:bottom w:val="nil"/>
              <w:right w:val="nil"/>
            </w:tcBorders>
            <w:shd w:val="clear" w:color="auto" w:fill="auto"/>
            <w:noWrap/>
            <w:vAlign w:val="center"/>
            <w:hideMark/>
          </w:tcPr>
          <w:p w14:paraId="2D396F62" w14:textId="77777777" w:rsidR="0091479B" w:rsidRPr="00966BD4" w:rsidRDefault="0091479B" w:rsidP="0091479B">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0F72E0F1" w14:textId="77777777" w:rsidR="0091479B" w:rsidRPr="00966BD4" w:rsidRDefault="0091479B" w:rsidP="0091479B">
            <w:pPr>
              <w:spacing w:before="0" w:after="0" w:line="240" w:lineRule="auto"/>
              <w:jc w:val="right"/>
              <w:rPr>
                <w:rFonts w:ascii="Times New Roman" w:hAnsi="Times New Roman"/>
                <w:sz w:val="20"/>
              </w:rPr>
            </w:pPr>
          </w:p>
        </w:tc>
      </w:tr>
      <w:tr w:rsidR="0091479B" w:rsidRPr="00966BD4" w14:paraId="1755B271"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992E009" w14:textId="77777777" w:rsidR="0091479B" w:rsidRPr="00966BD4" w:rsidRDefault="0091479B" w:rsidP="0091479B">
            <w:pPr>
              <w:spacing w:before="0" w:after="0" w:line="240" w:lineRule="auto"/>
              <w:ind w:left="170"/>
              <w:rPr>
                <w:rFonts w:ascii="Arial" w:hAnsi="Arial" w:cs="Arial"/>
                <w:i/>
                <w:sz w:val="16"/>
                <w:szCs w:val="16"/>
              </w:rPr>
            </w:pPr>
            <w:r w:rsidRPr="00966BD4">
              <w:rPr>
                <w:rFonts w:ascii="Arial" w:hAnsi="Arial" w:cs="Arial"/>
                <w:i/>
                <w:sz w:val="16"/>
                <w:szCs w:val="16"/>
              </w:rPr>
              <w:t xml:space="preserve">Total excise </w:t>
            </w:r>
          </w:p>
        </w:tc>
        <w:tc>
          <w:tcPr>
            <w:tcW w:w="727" w:type="pct"/>
            <w:tcBorders>
              <w:top w:val="nil"/>
              <w:left w:val="nil"/>
              <w:bottom w:val="nil"/>
              <w:right w:val="nil"/>
            </w:tcBorders>
            <w:shd w:val="clear" w:color="auto" w:fill="auto"/>
            <w:noWrap/>
            <w:vAlign w:val="center"/>
            <w:hideMark/>
          </w:tcPr>
          <w:p w14:paraId="22A99DFA"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31,780</w:t>
            </w:r>
          </w:p>
        </w:tc>
        <w:tc>
          <w:tcPr>
            <w:tcW w:w="727" w:type="pct"/>
            <w:tcBorders>
              <w:top w:val="nil"/>
              <w:left w:val="nil"/>
              <w:bottom w:val="nil"/>
              <w:right w:val="nil"/>
            </w:tcBorders>
            <w:shd w:val="clear" w:color="000000" w:fill="E6F2FF"/>
            <w:noWrap/>
            <w:vAlign w:val="center"/>
            <w:hideMark/>
          </w:tcPr>
          <w:p w14:paraId="601E3817"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30,010</w:t>
            </w:r>
          </w:p>
        </w:tc>
        <w:tc>
          <w:tcPr>
            <w:tcW w:w="51" w:type="pct"/>
            <w:tcBorders>
              <w:top w:val="nil"/>
              <w:left w:val="nil"/>
              <w:bottom w:val="nil"/>
              <w:right w:val="nil"/>
            </w:tcBorders>
            <w:shd w:val="clear" w:color="auto" w:fill="auto"/>
            <w:noWrap/>
            <w:vAlign w:val="center"/>
            <w:hideMark/>
          </w:tcPr>
          <w:p w14:paraId="025AB402" w14:textId="77777777" w:rsidR="0091479B" w:rsidRPr="00966BD4" w:rsidRDefault="0091479B" w:rsidP="0091479B">
            <w:pPr>
              <w:spacing w:before="0" w:after="0" w:line="240" w:lineRule="auto"/>
              <w:jc w:val="right"/>
              <w:rPr>
                <w:rFonts w:ascii="Arial" w:hAnsi="Arial" w:cs="Arial"/>
                <w:i/>
                <w:sz w:val="16"/>
                <w:szCs w:val="16"/>
              </w:rPr>
            </w:pPr>
          </w:p>
        </w:tc>
        <w:tc>
          <w:tcPr>
            <w:tcW w:w="657" w:type="pct"/>
            <w:tcBorders>
              <w:top w:val="nil"/>
              <w:left w:val="nil"/>
              <w:bottom w:val="nil"/>
              <w:right w:val="nil"/>
            </w:tcBorders>
            <w:shd w:val="clear" w:color="auto" w:fill="auto"/>
            <w:noWrap/>
            <w:vAlign w:val="center"/>
            <w:hideMark/>
          </w:tcPr>
          <w:p w14:paraId="6CB8688C" w14:textId="36F195D3" w:rsidR="0091479B" w:rsidRPr="00966BD4" w:rsidRDefault="001B77CF" w:rsidP="0091479B">
            <w:pPr>
              <w:spacing w:before="0" w:after="0" w:line="240" w:lineRule="auto"/>
              <w:jc w:val="right"/>
              <w:rPr>
                <w:rFonts w:ascii="Arial" w:hAnsi="Arial" w:cs="Arial"/>
                <w:i/>
                <w:sz w:val="16"/>
                <w:szCs w:val="16"/>
              </w:rPr>
            </w:pPr>
            <w:r>
              <w:rPr>
                <w:rFonts w:ascii="Arial" w:hAnsi="Arial" w:cs="Arial"/>
                <w:i/>
                <w:sz w:val="16"/>
                <w:szCs w:val="16"/>
              </w:rPr>
              <w:noBreakHyphen/>
            </w:r>
            <w:r w:rsidR="0091479B" w:rsidRPr="00966BD4">
              <w:rPr>
                <w:rFonts w:ascii="Arial" w:hAnsi="Arial" w:cs="Arial"/>
                <w:i/>
                <w:sz w:val="16"/>
                <w:szCs w:val="16"/>
              </w:rPr>
              <w:t>1,770</w:t>
            </w:r>
          </w:p>
        </w:tc>
        <w:tc>
          <w:tcPr>
            <w:tcW w:w="657" w:type="pct"/>
            <w:tcBorders>
              <w:top w:val="nil"/>
              <w:left w:val="nil"/>
              <w:bottom w:val="nil"/>
              <w:right w:val="nil"/>
            </w:tcBorders>
            <w:shd w:val="clear" w:color="auto" w:fill="auto"/>
            <w:noWrap/>
            <w:vAlign w:val="center"/>
            <w:hideMark/>
          </w:tcPr>
          <w:p w14:paraId="798FA910" w14:textId="3E58E1DA" w:rsidR="0091479B" w:rsidRPr="00966BD4" w:rsidRDefault="001B77CF" w:rsidP="0091479B">
            <w:pPr>
              <w:spacing w:before="0" w:after="0" w:line="240" w:lineRule="auto"/>
              <w:jc w:val="right"/>
              <w:rPr>
                <w:rFonts w:ascii="Arial" w:hAnsi="Arial" w:cs="Arial"/>
                <w:i/>
                <w:sz w:val="16"/>
                <w:szCs w:val="16"/>
              </w:rPr>
            </w:pPr>
            <w:r>
              <w:rPr>
                <w:rFonts w:ascii="Arial" w:hAnsi="Arial" w:cs="Arial"/>
                <w:i/>
                <w:sz w:val="16"/>
                <w:szCs w:val="16"/>
              </w:rPr>
              <w:noBreakHyphen/>
            </w:r>
            <w:r w:rsidR="0091479B" w:rsidRPr="00966BD4">
              <w:rPr>
                <w:rFonts w:ascii="Arial" w:hAnsi="Arial" w:cs="Arial"/>
                <w:i/>
                <w:sz w:val="16"/>
                <w:szCs w:val="16"/>
              </w:rPr>
              <w:t>5.6</w:t>
            </w:r>
          </w:p>
        </w:tc>
      </w:tr>
      <w:tr w:rsidR="0091479B" w:rsidRPr="00966BD4" w14:paraId="32A221FB" w14:textId="77777777" w:rsidTr="0091479B">
        <w:trPr>
          <w:trHeight w:hRule="exact" w:val="225"/>
        </w:trPr>
        <w:tc>
          <w:tcPr>
            <w:tcW w:w="2182" w:type="pct"/>
            <w:tcBorders>
              <w:top w:val="nil"/>
              <w:left w:val="nil"/>
              <w:bottom w:val="nil"/>
              <w:right w:val="nil"/>
            </w:tcBorders>
            <w:shd w:val="clear" w:color="auto" w:fill="auto"/>
            <w:noWrap/>
            <w:vAlign w:val="center"/>
            <w:hideMark/>
          </w:tcPr>
          <w:p w14:paraId="4DAB549E" w14:textId="77777777" w:rsidR="0091479B" w:rsidRPr="00966BD4" w:rsidRDefault="0091479B" w:rsidP="0091479B">
            <w:pPr>
              <w:spacing w:before="0" w:after="0" w:line="240" w:lineRule="auto"/>
              <w:ind w:left="170"/>
              <w:rPr>
                <w:rFonts w:ascii="Arial" w:hAnsi="Arial" w:cs="Arial"/>
                <w:i/>
                <w:sz w:val="16"/>
                <w:szCs w:val="16"/>
              </w:rPr>
            </w:pPr>
            <w:r w:rsidRPr="00966BD4">
              <w:rPr>
                <w:rFonts w:ascii="Arial" w:hAnsi="Arial" w:cs="Arial"/>
                <w:i/>
                <w:sz w:val="16"/>
                <w:szCs w:val="16"/>
              </w:rPr>
              <w:t xml:space="preserve">Total customs duty </w:t>
            </w:r>
          </w:p>
        </w:tc>
        <w:tc>
          <w:tcPr>
            <w:tcW w:w="727" w:type="pct"/>
            <w:tcBorders>
              <w:top w:val="nil"/>
              <w:left w:val="nil"/>
              <w:bottom w:val="nil"/>
              <w:right w:val="nil"/>
            </w:tcBorders>
            <w:shd w:val="clear" w:color="auto" w:fill="auto"/>
            <w:noWrap/>
            <w:vAlign w:val="center"/>
            <w:hideMark/>
          </w:tcPr>
          <w:p w14:paraId="40DA1ABF"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14,370</w:t>
            </w:r>
          </w:p>
        </w:tc>
        <w:tc>
          <w:tcPr>
            <w:tcW w:w="727" w:type="pct"/>
            <w:tcBorders>
              <w:top w:val="nil"/>
              <w:left w:val="nil"/>
              <w:bottom w:val="nil"/>
              <w:right w:val="nil"/>
            </w:tcBorders>
            <w:shd w:val="clear" w:color="000000" w:fill="E6F2FF"/>
            <w:noWrap/>
            <w:vAlign w:val="center"/>
            <w:hideMark/>
          </w:tcPr>
          <w:p w14:paraId="0A40FA11"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17,220</w:t>
            </w:r>
          </w:p>
        </w:tc>
        <w:tc>
          <w:tcPr>
            <w:tcW w:w="51" w:type="pct"/>
            <w:tcBorders>
              <w:top w:val="nil"/>
              <w:left w:val="nil"/>
              <w:bottom w:val="nil"/>
              <w:right w:val="nil"/>
            </w:tcBorders>
            <w:shd w:val="clear" w:color="auto" w:fill="auto"/>
            <w:noWrap/>
            <w:vAlign w:val="center"/>
            <w:hideMark/>
          </w:tcPr>
          <w:p w14:paraId="79C60822" w14:textId="77777777" w:rsidR="0091479B" w:rsidRPr="00966BD4" w:rsidRDefault="0091479B" w:rsidP="0091479B">
            <w:pPr>
              <w:spacing w:before="0" w:after="0" w:line="240" w:lineRule="auto"/>
              <w:jc w:val="right"/>
              <w:rPr>
                <w:rFonts w:ascii="Arial" w:hAnsi="Arial" w:cs="Arial"/>
                <w:i/>
                <w:sz w:val="16"/>
                <w:szCs w:val="16"/>
              </w:rPr>
            </w:pPr>
          </w:p>
        </w:tc>
        <w:tc>
          <w:tcPr>
            <w:tcW w:w="657" w:type="pct"/>
            <w:tcBorders>
              <w:top w:val="nil"/>
              <w:left w:val="nil"/>
              <w:bottom w:val="nil"/>
              <w:right w:val="nil"/>
            </w:tcBorders>
            <w:shd w:val="clear" w:color="auto" w:fill="auto"/>
            <w:noWrap/>
            <w:vAlign w:val="center"/>
            <w:hideMark/>
          </w:tcPr>
          <w:p w14:paraId="3D32F5C4"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2,850</w:t>
            </w:r>
          </w:p>
        </w:tc>
        <w:tc>
          <w:tcPr>
            <w:tcW w:w="657" w:type="pct"/>
            <w:tcBorders>
              <w:top w:val="nil"/>
              <w:left w:val="nil"/>
              <w:bottom w:val="nil"/>
              <w:right w:val="nil"/>
            </w:tcBorders>
            <w:shd w:val="clear" w:color="auto" w:fill="auto"/>
            <w:noWrap/>
            <w:vAlign w:val="center"/>
            <w:hideMark/>
          </w:tcPr>
          <w:p w14:paraId="670B2BF4"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19.8</w:t>
            </w:r>
          </w:p>
        </w:tc>
      </w:tr>
      <w:tr w:rsidR="0091479B" w:rsidRPr="00966BD4" w14:paraId="53ADCB59" w14:textId="77777777" w:rsidTr="0091479B">
        <w:trPr>
          <w:trHeight w:hRule="exact" w:val="225"/>
        </w:trPr>
        <w:tc>
          <w:tcPr>
            <w:tcW w:w="2182" w:type="pct"/>
            <w:tcBorders>
              <w:top w:val="nil"/>
              <w:left w:val="nil"/>
              <w:bottom w:val="single" w:sz="4" w:space="0" w:color="293F5B"/>
              <w:right w:val="nil"/>
            </w:tcBorders>
            <w:shd w:val="clear" w:color="auto" w:fill="auto"/>
            <w:noWrap/>
            <w:vAlign w:val="center"/>
            <w:hideMark/>
          </w:tcPr>
          <w:p w14:paraId="10FE7B12" w14:textId="77777777" w:rsidR="0091479B" w:rsidRPr="00966BD4" w:rsidRDefault="0091479B" w:rsidP="0091479B">
            <w:pPr>
              <w:spacing w:before="0" w:after="0" w:line="240" w:lineRule="auto"/>
              <w:ind w:left="170"/>
              <w:rPr>
                <w:rFonts w:ascii="Arial" w:hAnsi="Arial" w:cs="Arial"/>
                <w:i/>
                <w:sz w:val="16"/>
                <w:szCs w:val="16"/>
              </w:rPr>
            </w:pPr>
            <w:r w:rsidRPr="00966BD4">
              <w:rPr>
                <w:rFonts w:ascii="Arial" w:hAnsi="Arial" w:cs="Arial"/>
                <w:i/>
                <w:sz w:val="16"/>
                <w:szCs w:val="16"/>
              </w:rPr>
              <w:t>Capital gains tax(c)</w:t>
            </w:r>
          </w:p>
        </w:tc>
        <w:tc>
          <w:tcPr>
            <w:tcW w:w="727" w:type="pct"/>
            <w:tcBorders>
              <w:top w:val="nil"/>
              <w:left w:val="nil"/>
              <w:bottom w:val="single" w:sz="4" w:space="0" w:color="293F5B"/>
              <w:right w:val="nil"/>
            </w:tcBorders>
            <w:shd w:val="clear" w:color="000000" w:fill="FFFFFF"/>
            <w:noWrap/>
            <w:vAlign w:val="center"/>
            <w:hideMark/>
          </w:tcPr>
          <w:p w14:paraId="0DC40FB3"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21,300</w:t>
            </w:r>
          </w:p>
        </w:tc>
        <w:tc>
          <w:tcPr>
            <w:tcW w:w="727" w:type="pct"/>
            <w:tcBorders>
              <w:top w:val="nil"/>
              <w:left w:val="nil"/>
              <w:bottom w:val="single" w:sz="4" w:space="0" w:color="293F5B"/>
              <w:right w:val="nil"/>
            </w:tcBorders>
            <w:shd w:val="clear" w:color="000000" w:fill="E6F2FF"/>
            <w:noWrap/>
            <w:vAlign w:val="center"/>
            <w:hideMark/>
          </w:tcPr>
          <w:p w14:paraId="359AF54F"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23,200</w:t>
            </w:r>
          </w:p>
        </w:tc>
        <w:tc>
          <w:tcPr>
            <w:tcW w:w="51" w:type="pct"/>
            <w:tcBorders>
              <w:top w:val="nil"/>
              <w:left w:val="nil"/>
              <w:bottom w:val="single" w:sz="4" w:space="0" w:color="293F5B"/>
              <w:right w:val="nil"/>
            </w:tcBorders>
            <w:shd w:val="clear" w:color="auto" w:fill="auto"/>
            <w:noWrap/>
            <w:vAlign w:val="center"/>
            <w:hideMark/>
          </w:tcPr>
          <w:p w14:paraId="14C1A2C8"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 </w:t>
            </w:r>
          </w:p>
        </w:tc>
        <w:tc>
          <w:tcPr>
            <w:tcW w:w="657" w:type="pct"/>
            <w:tcBorders>
              <w:top w:val="nil"/>
              <w:left w:val="nil"/>
              <w:bottom w:val="single" w:sz="4" w:space="0" w:color="293F5B"/>
              <w:right w:val="nil"/>
            </w:tcBorders>
            <w:shd w:val="clear" w:color="auto" w:fill="auto"/>
            <w:noWrap/>
            <w:vAlign w:val="center"/>
            <w:hideMark/>
          </w:tcPr>
          <w:p w14:paraId="638E8648"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1,900</w:t>
            </w:r>
          </w:p>
        </w:tc>
        <w:tc>
          <w:tcPr>
            <w:tcW w:w="657" w:type="pct"/>
            <w:tcBorders>
              <w:top w:val="nil"/>
              <w:left w:val="nil"/>
              <w:bottom w:val="single" w:sz="4" w:space="0" w:color="293F5B"/>
              <w:right w:val="nil"/>
            </w:tcBorders>
            <w:shd w:val="clear" w:color="auto" w:fill="auto"/>
            <w:noWrap/>
            <w:vAlign w:val="center"/>
            <w:hideMark/>
          </w:tcPr>
          <w:p w14:paraId="6DC257C3" w14:textId="77777777" w:rsidR="0091479B" w:rsidRPr="00966BD4" w:rsidRDefault="0091479B" w:rsidP="0091479B">
            <w:pPr>
              <w:spacing w:before="0" w:after="0" w:line="240" w:lineRule="auto"/>
              <w:jc w:val="right"/>
              <w:rPr>
                <w:rFonts w:ascii="Arial" w:hAnsi="Arial" w:cs="Arial"/>
                <w:i/>
                <w:sz w:val="16"/>
                <w:szCs w:val="16"/>
              </w:rPr>
            </w:pPr>
            <w:r w:rsidRPr="00966BD4">
              <w:rPr>
                <w:rFonts w:ascii="Arial" w:hAnsi="Arial" w:cs="Arial"/>
                <w:i/>
                <w:sz w:val="16"/>
                <w:szCs w:val="16"/>
              </w:rPr>
              <w:t>8.9</w:t>
            </w:r>
          </w:p>
        </w:tc>
      </w:tr>
    </w:tbl>
    <w:p w14:paraId="03D2D73D" w14:textId="613F58AF" w:rsidR="00CE07B5" w:rsidRPr="00966BD4" w:rsidRDefault="001B77CF" w:rsidP="007D3282">
      <w:pPr>
        <w:pStyle w:val="ChartandTableFootnoteAlpha"/>
        <w:numPr>
          <w:ilvl w:val="0"/>
          <w:numId w:val="28"/>
        </w:numPr>
        <w:rPr>
          <w:color w:val="auto"/>
        </w:rPr>
      </w:pPr>
      <w:r>
        <w:rPr>
          <w:color w:val="auto"/>
        </w:rPr>
        <w:t>‘</w:t>
      </w:r>
      <w:r w:rsidR="00CE07B5" w:rsidRPr="00966BD4">
        <w:rPr>
          <w:color w:val="auto"/>
        </w:rPr>
        <w:t>Other alcoholic beverages</w:t>
      </w:r>
      <w:r>
        <w:rPr>
          <w:color w:val="auto"/>
        </w:rPr>
        <w:t>’</w:t>
      </w:r>
      <w:r w:rsidR="00CE07B5" w:rsidRPr="00966BD4">
        <w:rPr>
          <w:color w:val="auto"/>
        </w:rPr>
        <w:t xml:space="preserve"> are those not exceeding 10 per cent by volume of alcohol (excluding beer, brandy and wine). </w:t>
      </w:r>
    </w:p>
    <w:p w14:paraId="4A97FD80" w14:textId="10F36798" w:rsidR="00CE07B5" w:rsidRPr="00966BD4" w:rsidRDefault="00CE07B5" w:rsidP="00B472FA">
      <w:pPr>
        <w:pStyle w:val="ChartandTableFootnoteAlpha"/>
        <w:spacing w:before="0"/>
        <w:rPr>
          <w:color w:val="auto"/>
        </w:rPr>
      </w:pPr>
      <w:r w:rsidRPr="00966BD4">
        <w:rPr>
          <w:color w:val="auto"/>
        </w:rPr>
        <w:t>Prior to the 202</w:t>
      </w:r>
      <w:r w:rsidR="00825B55" w:rsidRPr="00966BD4">
        <w:rPr>
          <w:color w:val="auto"/>
        </w:rPr>
        <w:t>2–2</w:t>
      </w:r>
      <w:r w:rsidRPr="00966BD4">
        <w:rPr>
          <w:color w:val="auto"/>
        </w:rPr>
        <w:t xml:space="preserve">3 October Budget, </w:t>
      </w:r>
      <w:r w:rsidR="001B77CF">
        <w:rPr>
          <w:color w:val="auto"/>
        </w:rPr>
        <w:t>‘</w:t>
      </w:r>
      <w:r w:rsidRPr="00966BD4">
        <w:rPr>
          <w:color w:val="auto"/>
        </w:rPr>
        <w:t>visa application charges</w:t>
      </w:r>
      <w:r w:rsidR="001B77CF">
        <w:rPr>
          <w:color w:val="auto"/>
        </w:rPr>
        <w:t>’</w:t>
      </w:r>
      <w:r w:rsidRPr="00966BD4">
        <w:rPr>
          <w:color w:val="auto"/>
        </w:rPr>
        <w:t xml:space="preserve"> were previously included in </w:t>
      </w:r>
      <w:r w:rsidR="001B77CF">
        <w:rPr>
          <w:color w:val="auto"/>
        </w:rPr>
        <w:t>‘</w:t>
      </w:r>
      <w:r w:rsidRPr="00966BD4">
        <w:rPr>
          <w:color w:val="auto"/>
        </w:rPr>
        <w:t xml:space="preserve">other </w:t>
      </w:r>
      <w:proofErr w:type="gramStart"/>
      <w:r w:rsidRPr="00966BD4">
        <w:rPr>
          <w:color w:val="auto"/>
        </w:rPr>
        <w:t>taxes</w:t>
      </w:r>
      <w:r w:rsidR="001B77CF">
        <w:rPr>
          <w:color w:val="auto"/>
        </w:rPr>
        <w:t>’</w:t>
      </w:r>
      <w:proofErr w:type="gramEnd"/>
      <w:r w:rsidRPr="00966BD4">
        <w:rPr>
          <w:color w:val="auto"/>
        </w:rPr>
        <w:t xml:space="preserve">. </w:t>
      </w:r>
    </w:p>
    <w:p w14:paraId="43E4F622" w14:textId="7AE63CB8" w:rsidR="00CE07B5" w:rsidRPr="00966BD4" w:rsidRDefault="001B77CF" w:rsidP="00B472FA">
      <w:pPr>
        <w:pStyle w:val="ChartandTableFootnoteAlpha"/>
        <w:pBdr>
          <w:bottom w:val="single" w:sz="4" w:space="1" w:color="auto"/>
        </w:pBdr>
        <w:spacing w:before="0"/>
        <w:rPr>
          <w:color w:val="auto"/>
        </w:rPr>
      </w:pPr>
      <w:r>
        <w:rPr>
          <w:color w:val="auto"/>
        </w:rPr>
        <w:t>‘</w:t>
      </w:r>
      <w:r w:rsidR="00CE07B5" w:rsidRPr="00966BD4">
        <w:rPr>
          <w:color w:val="auto"/>
        </w:rPr>
        <w:t>Capital gains tax</w:t>
      </w:r>
      <w:r>
        <w:rPr>
          <w:color w:val="auto"/>
        </w:rPr>
        <w:t>’</w:t>
      </w:r>
      <w:r w:rsidR="00CE07B5" w:rsidRPr="00966BD4">
        <w:rPr>
          <w:color w:val="auto"/>
        </w:rPr>
        <w:t xml:space="preserve"> is part of gross other individuals, company tax and superannuation fund taxes.</w:t>
      </w:r>
    </w:p>
    <w:p w14:paraId="22475670" w14:textId="794EDB48" w:rsidR="00D43131" w:rsidRPr="00966BD4" w:rsidRDefault="00D907F8" w:rsidP="00D43131">
      <w:pPr>
        <w:pStyle w:val="TableHeading"/>
        <w:rPr>
          <w:rFonts w:asciiTheme="minorHAnsi" w:eastAsiaTheme="minorHAnsi" w:hAnsiTheme="minorHAnsi" w:cstheme="minorBidi"/>
          <w:sz w:val="22"/>
          <w:szCs w:val="22"/>
          <w:lang w:eastAsia="en-US"/>
        </w:rPr>
      </w:pPr>
      <w:r w:rsidRPr="00966BD4">
        <w:lastRenderedPageBreak/>
        <w:t>Table 5.</w:t>
      </w:r>
      <w:r w:rsidR="00771E4F" w:rsidRPr="00966BD4">
        <w:t>7</w:t>
      </w:r>
      <w:r w:rsidRPr="00966BD4">
        <w:t>: Australian Government general government (cash) receipts</w:t>
      </w:r>
    </w:p>
    <w:tbl>
      <w:tblPr>
        <w:tblW w:w="5000" w:type="pct"/>
        <w:tblCellMar>
          <w:left w:w="0" w:type="dxa"/>
          <w:right w:w="28" w:type="dxa"/>
        </w:tblCellMar>
        <w:tblLook w:val="04A0" w:firstRow="1" w:lastRow="0" w:firstColumn="1" w:lastColumn="0" w:noHBand="0" w:noVBand="1"/>
      </w:tblPr>
      <w:tblGrid>
        <w:gridCol w:w="3332"/>
        <w:gridCol w:w="717"/>
        <w:gridCol w:w="76"/>
        <w:gridCol w:w="666"/>
        <w:gridCol w:w="666"/>
        <w:gridCol w:w="751"/>
        <w:gridCol w:w="751"/>
        <w:gridCol w:w="751"/>
      </w:tblGrid>
      <w:tr w:rsidR="00D43131" w:rsidRPr="00966BD4" w14:paraId="6C8E8C6B" w14:textId="77777777" w:rsidTr="00D43131">
        <w:trPr>
          <w:divId w:val="1981614279"/>
          <w:trHeight w:hRule="exact" w:val="226"/>
        </w:trPr>
        <w:tc>
          <w:tcPr>
            <w:tcW w:w="2161" w:type="pct"/>
            <w:tcBorders>
              <w:top w:val="single" w:sz="4" w:space="0" w:color="auto"/>
              <w:left w:val="nil"/>
              <w:bottom w:val="nil"/>
              <w:right w:val="nil"/>
            </w:tcBorders>
            <w:shd w:val="clear" w:color="000000" w:fill="FFFFFF"/>
            <w:noWrap/>
            <w:vAlign w:val="center"/>
            <w:hideMark/>
          </w:tcPr>
          <w:p w14:paraId="34C61DB4" w14:textId="1166729B"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65" w:type="pct"/>
            <w:tcBorders>
              <w:top w:val="single" w:sz="4" w:space="0" w:color="293F5B"/>
              <w:left w:val="nil"/>
              <w:bottom w:val="single" w:sz="4" w:space="0" w:color="293F5B"/>
              <w:right w:val="nil"/>
            </w:tcBorders>
            <w:shd w:val="clear" w:color="000000" w:fill="FFFFFF"/>
            <w:noWrap/>
            <w:vAlign w:val="center"/>
            <w:hideMark/>
          </w:tcPr>
          <w:p w14:paraId="2F6E42FB" w14:textId="77777777" w:rsidR="00D43131" w:rsidRPr="00966BD4" w:rsidRDefault="00D43131" w:rsidP="00D43131">
            <w:pPr>
              <w:spacing w:before="0" w:after="0" w:line="240" w:lineRule="auto"/>
              <w:jc w:val="center"/>
              <w:rPr>
                <w:rFonts w:ascii="Arial" w:hAnsi="Arial" w:cs="Arial"/>
                <w:sz w:val="16"/>
                <w:szCs w:val="16"/>
              </w:rPr>
            </w:pPr>
            <w:r w:rsidRPr="00966BD4">
              <w:rPr>
                <w:rFonts w:ascii="Arial" w:hAnsi="Arial" w:cs="Arial"/>
                <w:sz w:val="16"/>
                <w:szCs w:val="16"/>
              </w:rPr>
              <w:t>Actual</w:t>
            </w:r>
          </w:p>
        </w:tc>
        <w:tc>
          <w:tcPr>
            <w:tcW w:w="49" w:type="pct"/>
            <w:tcBorders>
              <w:top w:val="nil"/>
              <w:left w:val="nil"/>
              <w:bottom w:val="nil"/>
              <w:right w:val="nil"/>
            </w:tcBorders>
            <w:shd w:val="clear" w:color="000000" w:fill="FFFFFF"/>
            <w:noWrap/>
            <w:vAlign w:val="center"/>
            <w:hideMark/>
          </w:tcPr>
          <w:p w14:paraId="340C60B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2325" w:type="pct"/>
            <w:gridSpan w:val="5"/>
            <w:tcBorders>
              <w:top w:val="single" w:sz="4" w:space="0" w:color="293F5B"/>
              <w:left w:val="nil"/>
              <w:bottom w:val="single" w:sz="4" w:space="0" w:color="293F5B"/>
              <w:right w:val="nil"/>
            </w:tcBorders>
            <w:shd w:val="clear" w:color="000000" w:fill="FFFFFF"/>
            <w:noWrap/>
            <w:vAlign w:val="center"/>
            <w:hideMark/>
          </w:tcPr>
          <w:p w14:paraId="59E6210B" w14:textId="77777777" w:rsidR="00D43131" w:rsidRPr="00966BD4" w:rsidRDefault="00D43131" w:rsidP="00D43131">
            <w:pPr>
              <w:spacing w:before="0" w:after="0" w:line="240" w:lineRule="auto"/>
              <w:jc w:val="center"/>
              <w:rPr>
                <w:rFonts w:ascii="Arial" w:hAnsi="Arial" w:cs="Arial"/>
                <w:sz w:val="16"/>
                <w:szCs w:val="16"/>
              </w:rPr>
            </w:pPr>
            <w:r w:rsidRPr="00966BD4">
              <w:rPr>
                <w:rFonts w:ascii="Arial" w:hAnsi="Arial" w:cs="Arial"/>
                <w:sz w:val="16"/>
                <w:szCs w:val="16"/>
              </w:rPr>
              <w:t>Estimates</w:t>
            </w:r>
          </w:p>
        </w:tc>
      </w:tr>
      <w:tr w:rsidR="00D43131" w:rsidRPr="00966BD4" w14:paraId="263D95B8"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3ADD484"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2EBE984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2021–22</w:t>
            </w:r>
          </w:p>
        </w:tc>
        <w:tc>
          <w:tcPr>
            <w:tcW w:w="49" w:type="pct"/>
            <w:tcBorders>
              <w:top w:val="nil"/>
              <w:left w:val="nil"/>
              <w:bottom w:val="nil"/>
              <w:right w:val="nil"/>
            </w:tcBorders>
            <w:shd w:val="clear" w:color="000000" w:fill="FFFFFF"/>
            <w:noWrap/>
            <w:vAlign w:val="center"/>
            <w:hideMark/>
          </w:tcPr>
          <w:p w14:paraId="60E5C5B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69DE23F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2022–23</w:t>
            </w:r>
          </w:p>
        </w:tc>
        <w:tc>
          <w:tcPr>
            <w:tcW w:w="432" w:type="pct"/>
            <w:tcBorders>
              <w:top w:val="nil"/>
              <w:left w:val="nil"/>
              <w:bottom w:val="nil"/>
              <w:right w:val="nil"/>
            </w:tcBorders>
            <w:shd w:val="clear" w:color="000000" w:fill="E6F2FF"/>
            <w:noWrap/>
            <w:vAlign w:val="center"/>
            <w:hideMark/>
          </w:tcPr>
          <w:p w14:paraId="0A15AC1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2023–24</w:t>
            </w:r>
          </w:p>
        </w:tc>
        <w:tc>
          <w:tcPr>
            <w:tcW w:w="487" w:type="pct"/>
            <w:tcBorders>
              <w:top w:val="nil"/>
              <w:left w:val="nil"/>
              <w:bottom w:val="nil"/>
              <w:right w:val="nil"/>
            </w:tcBorders>
            <w:shd w:val="clear" w:color="000000" w:fill="FFFFFF"/>
            <w:noWrap/>
            <w:vAlign w:val="center"/>
            <w:hideMark/>
          </w:tcPr>
          <w:p w14:paraId="7C76E80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2024–25</w:t>
            </w:r>
          </w:p>
        </w:tc>
        <w:tc>
          <w:tcPr>
            <w:tcW w:w="487" w:type="pct"/>
            <w:tcBorders>
              <w:top w:val="nil"/>
              <w:left w:val="nil"/>
              <w:bottom w:val="nil"/>
              <w:right w:val="nil"/>
            </w:tcBorders>
            <w:shd w:val="clear" w:color="000000" w:fill="FFFFFF"/>
            <w:noWrap/>
            <w:vAlign w:val="center"/>
            <w:hideMark/>
          </w:tcPr>
          <w:p w14:paraId="78AF7AC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2025–26</w:t>
            </w:r>
          </w:p>
        </w:tc>
        <w:tc>
          <w:tcPr>
            <w:tcW w:w="487" w:type="pct"/>
            <w:tcBorders>
              <w:top w:val="nil"/>
              <w:left w:val="nil"/>
              <w:bottom w:val="nil"/>
              <w:right w:val="nil"/>
            </w:tcBorders>
            <w:shd w:val="clear" w:color="000000" w:fill="FFFFFF"/>
            <w:noWrap/>
            <w:vAlign w:val="center"/>
            <w:hideMark/>
          </w:tcPr>
          <w:p w14:paraId="7F060D6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2026–27</w:t>
            </w:r>
          </w:p>
        </w:tc>
      </w:tr>
      <w:tr w:rsidR="00D43131" w:rsidRPr="00966BD4" w14:paraId="43392667" w14:textId="77777777" w:rsidTr="00D43131">
        <w:trPr>
          <w:divId w:val="1981614279"/>
          <w:trHeight w:hRule="exact" w:val="226"/>
        </w:trPr>
        <w:tc>
          <w:tcPr>
            <w:tcW w:w="2161" w:type="pct"/>
            <w:tcBorders>
              <w:top w:val="nil"/>
              <w:left w:val="nil"/>
              <w:bottom w:val="nil"/>
              <w:right w:val="nil"/>
            </w:tcBorders>
            <w:shd w:val="clear" w:color="000000" w:fill="FFFFFF"/>
            <w:vAlign w:val="center"/>
            <w:hideMark/>
          </w:tcPr>
          <w:p w14:paraId="23A57136"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65" w:type="pct"/>
            <w:tcBorders>
              <w:top w:val="nil"/>
              <w:left w:val="nil"/>
              <w:bottom w:val="single" w:sz="4" w:space="0" w:color="000000"/>
              <w:right w:val="nil"/>
            </w:tcBorders>
            <w:shd w:val="clear" w:color="000000" w:fill="FFFFFF"/>
            <w:vAlign w:val="center"/>
            <w:hideMark/>
          </w:tcPr>
          <w:p w14:paraId="1CF4F56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c>
          <w:tcPr>
            <w:tcW w:w="49" w:type="pct"/>
            <w:tcBorders>
              <w:top w:val="nil"/>
              <w:left w:val="nil"/>
              <w:bottom w:val="nil"/>
              <w:right w:val="nil"/>
            </w:tcBorders>
            <w:shd w:val="clear" w:color="000000" w:fill="FFFFFF"/>
            <w:vAlign w:val="center"/>
            <w:hideMark/>
          </w:tcPr>
          <w:p w14:paraId="7C76CFD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single" w:sz="4" w:space="0" w:color="000000"/>
              <w:right w:val="nil"/>
            </w:tcBorders>
            <w:shd w:val="clear" w:color="000000" w:fill="FFFFFF"/>
            <w:noWrap/>
            <w:vAlign w:val="center"/>
            <w:hideMark/>
          </w:tcPr>
          <w:p w14:paraId="750FAAF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c>
          <w:tcPr>
            <w:tcW w:w="432" w:type="pct"/>
            <w:tcBorders>
              <w:top w:val="nil"/>
              <w:left w:val="nil"/>
              <w:bottom w:val="single" w:sz="4" w:space="0" w:color="000000"/>
              <w:right w:val="nil"/>
            </w:tcBorders>
            <w:shd w:val="clear" w:color="000000" w:fill="E6F2FF"/>
            <w:noWrap/>
            <w:vAlign w:val="center"/>
            <w:hideMark/>
          </w:tcPr>
          <w:p w14:paraId="751EB35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c>
          <w:tcPr>
            <w:tcW w:w="487" w:type="pct"/>
            <w:tcBorders>
              <w:top w:val="nil"/>
              <w:left w:val="nil"/>
              <w:bottom w:val="single" w:sz="4" w:space="0" w:color="000000"/>
              <w:right w:val="nil"/>
            </w:tcBorders>
            <w:shd w:val="clear" w:color="000000" w:fill="FFFFFF"/>
            <w:vAlign w:val="center"/>
            <w:hideMark/>
          </w:tcPr>
          <w:p w14:paraId="35D353A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c>
          <w:tcPr>
            <w:tcW w:w="487" w:type="pct"/>
            <w:tcBorders>
              <w:top w:val="nil"/>
              <w:left w:val="nil"/>
              <w:bottom w:val="single" w:sz="4" w:space="0" w:color="000000"/>
              <w:right w:val="nil"/>
            </w:tcBorders>
            <w:shd w:val="clear" w:color="000000" w:fill="FFFFFF"/>
            <w:vAlign w:val="center"/>
            <w:hideMark/>
          </w:tcPr>
          <w:p w14:paraId="073CB39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c>
          <w:tcPr>
            <w:tcW w:w="487" w:type="pct"/>
            <w:tcBorders>
              <w:top w:val="nil"/>
              <w:left w:val="nil"/>
              <w:bottom w:val="single" w:sz="4" w:space="0" w:color="000000"/>
              <w:right w:val="nil"/>
            </w:tcBorders>
            <w:shd w:val="clear" w:color="000000" w:fill="FFFFFF"/>
            <w:vAlign w:val="center"/>
            <w:hideMark/>
          </w:tcPr>
          <w:p w14:paraId="3EC268B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$m</w:t>
            </w:r>
          </w:p>
        </w:tc>
      </w:tr>
      <w:tr w:rsidR="00D43131" w:rsidRPr="00966BD4" w14:paraId="06BA9507"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02830E0B"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Individuals and other withholding taxes</w:t>
            </w:r>
          </w:p>
        </w:tc>
        <w:tc>
          <w:tcPr>
            <w:tcW w:w="465" w:type="pct"/>
            <w:tcBorders>
              <w:top w:val="nil"/>
              <w:left w:val="nil"/>
              <w:bottom w:val="nil"/>
              <w:right w:val="nil"/>
            </w:tcBorders>
            <w:shd w:val="clear" w:color="000000" w:fill="FFFFFF"/>
            <w:noWrap/>
            <w:vAlign w:val="center"/>
            <w:hideMark/>
          </w:tcPr>
          <w:p w14:paraId="78BE808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9" w:type="pct"/>
            <w:tcBorders>
              <w:top w:val="nil"/>
              <w:left w:val="nil"/>
              <w:bottom w:val="nil"/>
              <w:right w:val="nil"/>
            </w:tcBorders>
            <w:shd w:val="clear" w:color="000000" w:fill="FFFFFF"/>
            <w:noWrap/>
            <w:vAlign w:val="center"/>
            <w:hideMark/>
          </w:tcPr>
          <w:p w14:paraId="3F56A92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7AA3CE06"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E6F2FF"/>
            <w:noWrap/>
            <w:vAlign w:val="center"/>
            <w:hideMark/>
          </w:tcPr>
          <w:p w14:paraId="7923B75C"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6A3E35F0"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 </w:t>
            </w:r>
          </w:p>
        </w:tc>
        <w:tc>
          <w:tcPr>
            <w:tcW w:w="487" w:type="pct"/>
            <w:tcBorders>
              <w:top w:val="nil"/>
              <w:left w:val="nil"/>
              <w:bottom w:val="nil"/>
              <w:right w:val="nil"/>
            </w:tcBorders>
            <w:shd w:val="clear" w:color="000000" w:fill="FFFFFF"/>
            <w:noWrap/>
            <w:vAlign w:val="center"/>
            <w:hideMark/>
          </w:tcPr>
          <w:p w14:paraId="6FA81938"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 </w:t>
            </w:r>
          </w:p>
        </w:tc>
        <w:tc>
          <w:tcPr>
            <w:tcW w:w="487" w:type="pct"/>
            <w:tcBorders>
              <w:top w:val="nil"/>
              <w:left w:val="nil"/>
              <w:bottom w:val="nil"/>
              <w:right w:val="nil"/>
            </w:tcBorders>
            <w:shd w:val="clear" w:color="000000" w:fill="FFFFFF"/>
            <w:noWrap/>
            <w:vAlign w:val="center"/>
            <w:hideMark/>
          </w:tcPr>
          <w:p w14:paraId="1EDC5BCD"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 </w:t>
            </w:r>
          </w:p>
        </w:tc>
      </w:tr>
      <w:tr w:rsidR="00D43131" w:rsidRPr="00966BD4" w14:paraId="08A79AC6"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EF3E0F2"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Gross income tax withholding</w:t>
            </w:r>
          </w:p>
        </w:tc>
        <w:tc>
          <w:tcPr>
            <w:tcW w:w="465" w:type="pct"/>
            <w:tcBorders>
              <w:top w:val="nil"/>
              <w:left w:val="nil"/>
              <w:bottom w:val="nil"/>
              <w:right w:val="nil"/>
            </w:tcBorders>
            <w:shd w:val="clear" w:color="000000" w:fill="FFFFFF"/>
            <w:noWrap/>
            <w:vAlign w:val="center"/>
            <w:hideMark/>
          </w:tcPr>
          <w:p w14:paraId="2D096E9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239,669</w:t>
            </w:r>
          </w:p>
        </w:tc>
        <w:tc>
          <w:tcPr>
            <w:tcW w:w="49" w:type="pct"/>
            <w:tcBorders>
              <w:top w:val="nil"/>
              <w:left w:val="nil"/>
              <w:bottom w:val="nil"/>
              <w:right w:val="nil"/>
            </w:tcBorders>
            <w:shd w:val="clear" w:color="000000" w:fill="FFFFFF"/>
            <w:noWrap/>
            <w:vAlign w:val="center"/>
            <w:hideMark/>
          </w:tcPr>
          <w:p w14:paraId="5DE580E8"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488F387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269,600</w:t>
            </w:r>
          </w:p>
        </w:tc>
        <w:tc>
          <w:tcPr>
            <w:tcW w:w="432" w:type="pct"/>
            <w:tcBorders>
              <w:top w:val="nil"/>
              <w:left w:val="nil"/>
              <w:bottom w:val="nil"/>
              <w:right w:val="nil"/>
            </w:tcBorders>
            <w:shd w:val="clear" w:color="000000" w:fill="E6F2FF"/>
            <w:noWrap/>
            <w:vAlign w:val="center"/>
            <w:hideMark/>
          </w:tcPr>
          <w:p w14:paraId="39772F6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286,700</w:t>
            </w:r>
          </w:p>
        </w:tc>
        <w:tc>
          <w:tcPr>
            <w:tcW w:w="487" w:type="pct"/>
            <w:tcBorders>
              <w:top w:val="nil"/>
              <w:left w:val="nil"/>
              <w:bottom w:val="nil"/>
              <w:right w:val="nil"/>
            </w:tcBorders>
            <w:shd w:val="clear" w:color="000000" w:fill="FFFFFF"/>
            <w:noWrap/>
            <w:vAlign w:val="center"/>
            <w:hideMark/>
          </w:tcPr>
          <w:p w14:paraId="2C62AFB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280,800</w:t>
            </w:r>
          </w:p>
        </w:tc>
        <w:tc>
          <w:tcPr>
            <w:tcW w:w="487" w:type="pct"/>
            <w:tcBorders>
              <w:top w:val="nil"/>
              <w:left w:val="nil"/>
              <w:bottom w:val="nil"/>
              <w:right w:val="nil"/>
            </w:tcBorders>
            <w:shd w:val="clear" w:color="000000" w:fill="FFFFFF"/>
            <w:noWrap/>
            <w:vAlign w:val="center"/>
            <w:hideMark/>
          </w:tcPr>
          <w:p w14:paraId="60FC519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295,200</w:t>
            </w:r>
          </w:p>
        </w:tc>
        <w:tc>
          <w:tcPr>
            <w:tcW w:w="487" w:type="pct"/>
            <w:tcBorders>
              <w:top w:val="nil"/>
              <w:left w:val="nil"/>
              <w:bottom w:val="nil"/>
              <w:right w:val="nil"/>
            </w:tcBorders>
            <w:shd w:val="clear" w:color="000000" w:fill="FFFFFF"/>
            <w:noWrap/>
            <w:vAlign w:val="center"/>
            <w:hideMark/>
          </w:tcPr>
          <w:p w14:paraId="4AD280E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315,200</w:t>
            </w:r>
          </w:p>
        </w:tc>
      </w:tr>
      <w:tr w:rsidR="00D43131" w:rsidRPr="00966BD4" w14:paraId="77914491"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20E95FA5"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Gross other individuals</w:t>
            </w:r>
          </w:p>
        </w:tc>
        <w:tc>
          <w:tcPr>
            <w:tcW w:w="465" w:type="pct"/>
            <w:tcBorders>
              <w:top w:val="nil"/>
              <w:left w:val="nil"/>
              <w:bottom w:val="nil"/>
              <w:right w:val="nil"/>
            </w:tcBorders>
            <w:shd w:val="clear" w:color="000000" w:fill="FFFFFF"/>
            <w:noWrap/>
            <w:vAlign w:val="center"/>
            <w:hideMark/>
          </w:tcPr>
          <w:p w14:paraId="3406FBE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57,432</w:t>
            </w:r>
          </w:p>
        </w:tc>
        <w:tc>
          <w:tcPr>
            <w:tcW w:w="49" w:type="pct"/>
            <w:tcBorders>
              <w:top w:val="nil"/>
              <w:left w:val="nil"/>
              <w:bottom w:val="nil"/>
              <w:right w:val="nil"/>
            </w:tcBorders>
            <w:shd w:val="clear" w:color="000000" w:fill="FFFFFF"/>
            <w:noWrap/>
            <w:vAlign w:val="center"/>
            <w:hideMark/>
          </w:tcPr>
          <w:p w14:paraId="0AF9D6C2"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DB0992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69,500</w:t>
            </w:r>
          </w:p>
        </w:tc>
        <w:tc>
          <w:tcPr>
            <w:tcW w:w="432" w:type="pct"/>
            <w:tcBorders>
              <w:top w:val="nil"/>
              <w:left w:val="nil"/>
              <w:bottom w:val="nil"/>
              <w:right w:val="nil"/>
            </w:tcBorders>
            <w:shd w:val="clear" w:color="000000" w:fill="E6F2FF"/>
            <w:noWrap/>
            <w:vAlign w:val="center"/>
            <w:hideMark/>
          </w:tcPr>
          <w:p w14:paraId="6AF074B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69,700</w:t>
            </w:r>
          </w:p>
        </w:tc>
        <w:tc>
          <w:tcPr>
            <w:tcW w:w="487" w:type="pct"/>
            <w:tcBorders>
              <w:top w:val="nil"/>
              <w:left w:val="nil"/>
              <w:bottom w:val="nil"/>
              <w:right w:val="nil"/>
            </w:tcBorders>
            <w:shd w:val="clear" w:color="000000" w:fill="FFFFFF"/>
            <w:noWrap/>
            <w:vAlign w:val="center"/>
            <w:hideMark/>
          </w:tcPr>
          <w:p w14:paraId="25BA5A8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70,100</w:t>
            </w:r>
          </w:p>
        </w:tc>
        <w:tc>
          <w:tcPr>
            <w:tcW w:w="487" w:type="pct"/>
            <w:tcBorders>
              <w:top w:val="nil"/>
              <w:left w:val="nil"/>
              <w:bottom w:val="nil"/>
              <w:right w:val="nil"/>
            </w:tcBorders>
            <w:shd w:val="clear" w:color="000000" w:fill="FFFFFF"/>
            <w:noWrap/>
            <w:vAlign w:val="center"/>
            <w:hideMark/>
          </w:tcPr>
          <w:p w14:paraId="792F18B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71,600</w:t>
            </w:r>
          </w:p>
        </w:tc>
        <w:tc>
          <w:tcPr>
            <w:tcW w:w="487" w:type="pct"/>
            <w:tcBorders>
              <w:top w:val="nil"/>
              <w:left w:val="nil"/>
              <w:bottom w:val="nil"/>
              <w:right w:val="nil"/>
            </w:tcBorders>
            <w:shd w:val="clear" w:color="000000" w:fill="FFFFFF"/>
            <w:noWrap/>
            <w:vAlign w:val="center"/>
            <w:hideMark/>
          </w:tcPr>
          <w:p w14:paraId="1ED54A5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76,500</w:t>
            </w:r>
          </w:p>
        </w:tc>
      </w:tr>
      <w:tr w:rsidR="00D43131" w:rsidRPr="00966BD4" w14:paraId="51B452A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1B005687" w14:textId="77777777" w:rsidR="00D43131" w:rsidRPr="00966BD4" w:rsidRDefault="00D43131" w:rsidP="00D43131">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w:t>
            </w:r>
          </w:p>
        </w:tc>
        <w:tc>
          <w:tcPr>
            <w:tcW w:w="465" w:type="pct"/>
            <w:tcBorders>
              <w:top w:val="nil"/>
              <w:left w:val="nil"/>
              <w:bottom w:val="nil"/>
              <w:right w:val="nil"/>
            </w:tcBorders>
            <w:shd w:val="clear" w:color="000000" w:fill="FFFFFF"/>
            <w:noWrap/>
            <w:vAlign w:val="center"/>
            <w:hideMark/>
          </w:tcPr>
          <w:p w14:paraId="7704499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38,048</w:t>
            </w:r>
          </w:p>
        </w:tc>
        <w:tc>
          <w:tcPr>
            <w:tcW w:w="49" w:type="pct"/>
            <w:tcBorders>
              <w:top w:val="nil"/>
              <w:left w:val="nil"/>
              <w:bottom w:val="nil"/>
              <w:right w:val="nil"/>
            </w:tcBorders>
            <w:shd w:val="clear" w:color="000000" w:fill="FFFFFF"/>
            <w:noWrap/>
            <w:vAlign w:val="center"/>
            <w:hideMark/>
          </w:tcPr>
          <w:p w14:paraId="7A8809C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4FED300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42,100</w:t>
            </w:r>
          </w:p>
        </w:tc>
        <w:tc>
          <w:tcPr>
            <w:tcW w:w="432" w:type="pct"/>
            <w:tcBorders>
              <w:top w:val="nil"/>
              <w:left w:val="nil"/>
              <w:bottom w:val="nil"/>
              <w:right w:val="nil"/>
            </w:tcBorders>
            <w:shd w:val="clear" w:color="000000" w:fill="E6F2FF"/>
            <w:noWrap/>
            <w:vAlign w:val="center"/>
            <w:hideMark/>
          </w:tcPr>
          <w:p w14:paraId="595850B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37,000</w:t>
            </w:r>
          </w:p>
        </w:tc>
        <w:tc>
          <w:tcPr>
            <w:tcW w:w="487" w:type="pct"/>
            <w:tcBorders>
              <w:top w:val="nil"/>
              <w:left w:val="nil"/>
              <w:bottom w:val="nil"/>
              <w:right w:val="nil"/>
            </w:tcBorders>
            <w:shd w:val="clear" w:color="000000" w:fill="FFFFFF"/>
            <w:noWrap/>
            <w:vAlign w:val="center"/>
            <w:hideMark/>
          </w:tcPr>
          <w:p w14:paraId="2C1C491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37,700</w:t>
            </w:r>
          </w:p>
        </w:tc>
        <w:tc>
          <w:tcPr>
            <w:tcW w:w="487" w:type="pct"/>
            <w:tcBorders>
              <w:top w:val="nil"/>
              <w:left w:val="nil"/>
              <w:bottom w:val="nil"/>
              <w:right w:val="nil"/>
            </w:tcBorders>
            <w:shd w:val="clear" w:color="000000" w:fill="FFFFFF"/>
            <w:noWrap/>
            <w:vAlign w:val="center"/>
            <w:hideMark/>
          </w:tcPr>
          <w:p w14:paraId="542D4A2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36,100</w:t>
            </w:r>
          </w:p>
        </w:tc>
        <w:tc>
          <w:tcPr>
            <w:tcW w:w="487" w:type="pct"/>
            <w:tcBorders>
              <w:top w:val="nil"/>
              <w:left w:val="nil"/>
              <w:bottom w:val="nil"/>
              <w:right w:val="nil"/>
            </w:tcBorders>
            <w:shd w:val="clear" w:color="000000" w:fill="FFFFFF"/>
            <w:noWrap/>
            <w:vAlign w:val="center"/>
            <w:hideMark/>
          </w:tcPr>
          <w:p w14:paraId="6881AC1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36,200</w:t>
            </w:r>
          </w:p>
        </w:tc>
      </w:tr>
      <w:tr w:rsidR="00D43131" w:rsidRPr="00966BD4" w14:paraId="7C5D3D8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0DD408D8"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Total individuals and other withholding tax</w:t>
            </w:r>
          </w:p>
        </w:tc>
        <w:tc>
          <w:tcPr>
            <w:tcW w:w="465" w:type="pct"/>
            <w:tcBorders>
              <w:top w:val="single" w:sz="4" w:space="0" w:color="000000"/>
              <w:left w:val="nil"/>
              <w:bottom w:val="nil"/>
              <w:right w:val="nil"/>
            </w:tcBorders>
            <w:shd w:val="clear" w:color="000000" w:fill="FFFFFF"/>
            <w:noWrap/>
            <w:vAlign w:val="center"/>
            <w:hideMark/>
          </w:tcPr>
          <w:p w14:paraId="1A640C1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259,052</w:t>
            </w:r>
          </w:p>
        </w:tc>
        <w:tc>
          <w:tcPr>
            <w:tcW w:w="49" w:type="pct"/>
            <w:tcBorders>
              <w:top w:val="nil"/>
              <w:left w:val="nil"/>
              <w:bottom w:val="nil"/>
              <w:right w:val="nil"/>
            </w:tcBorders>
            <w:shd w:val="clear" w:color="000000" w:fill="FFFFFF"/>
            <w:noWrap/>
            <w:vAlign w:val="center"/>
            <w:hideMark/>
          </w:tcPr>
          <w:p w14:paraId="0B302B4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single" w:sz="4" w:space="0" w:color="000000"/>
              <w:left w:val="nil"/>
              <w:bottom w:val="nil"/>
              <w:right w:val="nil"/>
            </w:tcBorders>
            <w:shd w:val="clear" w:color="000000" w:fill="FFFFFF"/>
            <w:noWrap/>
            <w:vAlign w:val="center"/>
            <w:hideMark/>
          </w:tcPr>
          <w:p w14:paraId="51F98F6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297,000</w:t>
            </w:r>
          </w:p>
        </w:tc>
        <w:tc>
          <w:tcPr>
            <w:tcW w:w="432" w:type="pct"/>
            <w:tcBorders>
              <w:top w:val="single" w:sz="4" w:space="0" w:color="000000"/>
              <w:left w:val="nil"/>
              <w:bottom w:val="nil"/>
              <w:right w:val="nil"/>
            </w:tcBorders>
            <w:shd w:val="clear" w:color="000000" w:fill="E6F2FF"/>
            <w:noWrap/>
            <w:vAlign w:val="center"/>
            <w:hideMark/>
          </w:tcPr>
          <w:p w14:paraId="6DFFFE6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319,400</w:t>
            </w:r>
          </w:p>
        </w:tc>
        <w:tc>
          <w:tcPr>
            <w:tcW w:w="487" w:type="pct"/>
            <w:tcBorders>
              <w:top w:val="single" w:sz="4" w:space="0" w:color="000000"/>
              <w:left w:val="nil"/>
              <w:bottom w:val="nil"/>
              <w:right w:val="nil"/>
            </w:tcBorders>
            <w:shd w:val="clear" w:color="000000" w:fill="FFFFFF"/>
            <w:noWrap/>
            <w:vAlign w:val="center"/>
            <w:hideMark/>
          </w:tcPr>
          <w:p w14:paraId="10CF529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313,200</w:t>
            </w:r>
          </w:p>
        </w:tc>
        <w:tc>
          <w:tcPr>
            <w:tcW w:w="487" w:type="pct"/>
            <w:tcBorders>
              <w:top w:val="single" w:sz="4" w:space="0" w:color="000000"/>
              <w:left w:val="nil"/>
              <w:bottom w:val="nil"/>
              <w:right w:val="nil"/>
            </w:tcBorders>
            <w:shd w:val="clear" w:color="000000" w:fill="FFFFFF"/>
            <w:noWrap/>
            <w:vAlign w:val="center"/>
            <w:hideMark/>
          </w:tcPr>
          <w:p w14:paraId="7C9F517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330,700</w:t>
            </w:r>
          </w:p>
        </w:tc>
        <w:tc>
          <w:tcPr>
            <w:tcW w:w="487" w:type="pct"/>
            <w:tcBorders>
              <w:top w:val="single" w:sz="4" w:space="0" w:color="000000"/>
              <w:left w:val="nil"/>
              <w:bottom w:val="nil"/>
              <w:right w:val="nil"/>
            </w:tcBorders>
            <w:shd w:val="clear" w:color="000000" w:fill="FFFFFF"/>
            <w:noWrap/>
            <w:vAlign w:val="center"/>
            <w:hideMark/>
          </w:tcPr>
          <w:p w14:paraId="0705962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355,500</w:t>
            </w:r>
          </w:p>
        </w:tc>
      </w:tr>
      <w:tr w:rsidR="00D43131" w:rsidRPr="00966BD4" w14:paraId="38BA22E2"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200EB0E6"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Fringe benefits tax</w:t>
            </w:r>
          </w:p>
        </w:tc>
        <w:tc>
          <w:tcPr>
            <w:tcW w:w="465" w:type="pct"/>
            <w:tcBorders>
              <w:top w:val="nil"/>
              <w:left w:val="nil"/>
              <w:bottom w:val="nil"/>
              <w:right w:val="nil"/>
            </w:tcBorders>
            <w:shd w:val="clear" w:color="000000" w:fill="FFFFFF"/>
            <w:noWrap/>
            <w:vAlign w:val="center"/>
            <w:hideMark/>
          </w:tcPr>
          <w:p w14:paraId="6EA5326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3,331</w:t>
            </w:r>
          </w:p>
        </w:tc>
        <w:tc>
          <w:tcPr>
            <w:tcW w:w="49" w:type="pct"/>
            <w:tcBorders>
              <w:top w:val="nil"/>
              <w:left w:val="nil"/>
              <w:bottom w:val="nil"/>
              <w:right w:val="nil"/>
            </w:tcBorders>
            <w:shd w:val="clear" w:color="000000" w:fill="FFFFFF"/>
            <w:noWrap/>
            <w:vAlign w:val="center"/>
            <w:hideMark/>
          </w:tcPr>
          <w:p w14:paraId="528BAB3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334BC3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3,630</w:t>
            </w:r>
          </w:p>
        </w:tc>
        <w:tc>
          <w:tcPr>
            <w:tcW w:w="432" w:type="pct"/>
            <w:tcBorders>
              <w:top w:val="nil"/>
              <w:left w:val="nil"/>
              <w:bottom w:val="nil"/>
              <w:right w:val="nil"/>
            </w:tcBorders>
            <w:shd w:val="clear" w:color="000000" w:fill="E6F2FF"/>
            <w:noWrap/>
            <w:vAlign w:val="center"/>
            <w:hideMark/>
          </w:tcPr>
          <w:p w14:paraId="292481C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3,540</w:t>
            </w:r>
          </w:p>
        </w:tc>
        <w:tc>
          <w:tcPr>
            <w:tcW w:w="487" w:type="pct"/>
            <w:tcBorders>
              <w:top w:val="nil"/>
              <w:left w:val="nil"/>
              <w:bottom w:val="nil"/>
              <w:right w:val="nil"/>
            </w:tcBorders>
            <w:shd w:val="clear" w:color="000000" w:fill="FFFFFF"/>
            <w:noWrap/>
            <w:vAlign w:val="center"/>
            <w:hideMark/>
          </w:tcPr>
          <w:p w14:paraId="7892E72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3,550</w:t>
            </w:r>
          </w:p>
        </w:tc>
        <w:tc>
          <w:tcPr>
            <w:tcW w:w="487" w:type="pct"/>
            <w:tcBorders>
              <w:top w:val="nil"/>
              <w:left w:val="nil"/>
              <w:bottom w:val="nil"/>
              <w:right w:val="nil"/>
            </w:tcBorders>
            <w:shd w:val="clear" w:color="000000" w:fill="FFFFFF"/>
            <w:noWrap/>
            <w:vAlign w:val="center"/>
            <w:hideMark/>
          </w:tcPr>
          <w:p w14:paraId="36BA06A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3,460</w:t>
            </w:r>
          </w:p>
        </w:tc>
        <w:tc>
          <w:tcPr>
            <w:tcW w:w="487" w:type="pct"/>
            <w:tcBorders>
              <w:top w:val="nil"/>
              <w:left w:val="nil"/>
              <w:bottom w:val="nil"/>
              <w:right w:val="nil"/>
            </w:tcBorders>
            <w:shd w:val="clear" w:color="000000" w:fill="FFFFFF"/>
            <w:noWrap/>
            <w:vAlign w:val="center"/>
            <w:hideMark/>
          </w:tcPr>
          <w:p w14:paraId="199D0AF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3,480</w:t>
            </w:r>
          </w:p>
        </w:tc>
      </w:tr>
      <w:tr w:rsidR="00D43131" w:rsidRPr="00966BD4" w14:paraId="02A046E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7D915B0"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Company tax</w:t>
            </w:r>
          </w:p>
        </w:tc>
        <w:tc>
          <w:tcPr>
            <w:tcW w:w="465" w:type="pct"/>
            <w:tcBorders>
              <w:top w:val="nil"/>
              <w:left w:val="nil"/>
              <w:bottom w:val="nil"/>
              <w:right w:val="nil"/>
            </w:tcBorders>
            <w:shd w:val="clear" w:color="000000" w:fill="FFFFFF"/>
            <w:noWrap/>
            <w:vAlign w:val="center"/>
            <w:hideMark/>
          </w:tcPr>
          <w:p w14:paraId="3E21D5C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123,308</w:t>
            </w:r>
          </w:p>
        </w:tc>
        <w:tc>
          <w:tcPr>
            <w:tcW w:w="49" w:type="pct"/>
            <w:tcBorders>
              <w:top w:val="nil"/>
              <w:left w:val="nil"/>
              <w:bottom w:val="nil"/>
              <w:right w:val="nil"/>
            </w:tcBorders>
            <w:shd w:val="clear" w:color="000000" w:fill="FFFFFF"/>
            <w:noWrap/>
            <w:vAlign w:val="center"/>
            <w:hideMark/>
          </w:tcPr>
          <w:p w14:paraId="33123EA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DF9877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138,400</w:t>
            </w:r>
          </w:p>
        </w:tc>
        <w:tc>
          <w:tcPr>
            <w:tcW w:w="432" w:type="pct"/>
            <w:tcBorders>
              <w:top w:val="nil"/>
              <w:left w:val="nil"/>
              <w:bottom w:val="nil"/>
              <w:right w:val="nil"/>
            </w:tcBorders>
            <w:shd w:val="clear" w:color="000000" w:fill="E6F2FF"/>
            <w:noWrap/>
            <w:vAlign w:val="center"/>
            <w:hideMark/>
          </w:tcPr>
          <w:p w14:paraId="48CDFBE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128,700</w:t>
            </w:r>
          </w:p>
        </w:tc>
        <w:tc>
          <w:tcPr>
            <w:tcW w:w="487" w:type="pct"/>
            <w:tcBorders>
              <w:top w:val="nil"/>
              <w:left w:val="nil"/>
              <w:bottom w:val="nil"/>
              <w:right w:val="nil"/>
            </w:tcBorders>
            <w:shd w:val="clear" w:color="000000" w:fill="FFFFFF"/>
            <w:noWrap/>
            <w:vAlign w:val="center"/>
            <w:hideMark/>
          </w:tcPr>
          <w:p w14:paraId="21459E7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119,800</w:t>
            </w:r>
          </w:p>
        </w:tc>
        <w:tc>
          <w:tcPr>
            <w:tcW w:w="487" w:type="pct"/>
            <w:tcBorders>
              <w:top w:val="nil"/>
              <w:left w:val="nil"/>
              <w:bottom w:val="nil"/>
              <w:right w:val="nil"/>
            </w:tcBorders>
            <w:shd w:val="clear" w:color="000000" w:fill="FFFFFF"/>
            <w:noWrap/>
            <w:vAlign w:val="center"/>
            <w:hideMark/>
          </w:tcPr>
          <w:p w14:paraId="06DC208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130,200</w:t>
            </w:r>
          </w:p>
        </w:tc>
        <w:tc>
          <w:tcPr>
            <w:tcW w:w="487" w:type="pct"/>
            <w:tcBorders>
              <w:top w:val="nil"/>
              <w:left w:val="nil"/>
              <w:bottom w:val="nil"/>
              <w:right w:val="nil"/>
            </w:tcBorders>
            <w:shd w:val="clear" w:color="000000" w:fill="FFFFFF"/>
            <w:noWrap/>
            <w:vAlign w:val="center"/>
            <w:hideMark/>
          </w:tcPr>
          <w:p w14:paraId="45D7CB5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128,600</w:t>
            </w:r>
          </w:p>
        </w:tc>
      </w:tr>
      <w:tr w:rsidR="00D43131" w:rsidRPr="00966BD4" w14:paraId="7B640902"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9CC1F1F"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Superannuation fund taxes</w:t>
            </w:r>
          </w:p>
        </w:tc>
        <w:tc>
          <w:tcPr>
            <w:tcW w:w="465" w:type="pct"/>
            <w:tcBorders>
              <w:top w:val="nil"/>
              <w:left w:val="nil"/>
              <w:bottom w:val="nil"/>
              <w:right w:val="nil"/>
            </w:tcBorders>
            <w:shd w:val="clear" w:color="000000" w:fill="FFFFFF"/>
            <w:noWrap/>
            <w:vAlign w:val="center"/>
            <w:hideMark/>
          </w:tcPr>
          <w:p w14:paraId="06D2CBF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26,546</w:t>
            </w:r>
          </w:p>
        </w:tc>
        <w:tc>
          <w:tcPr>
            <w:tcW w:w="49" w:type="pct"/>
            <w:tcBorders>
              <w:top w:val="nil"/>
              <w:left w:val="nil"/>
              <w:bottom w:val="nil"/>
              <w:right w:val="nil"/>
            </w:tcBorders>
            <w:shd w:val="clear" w:color="000000" w:fill="FFFFFF"/>
            <w:noWrap/>
            <w:vAlign w:val="center"/>
            <w:hideMark/>
          </w:tcPr>
          <w:p w14:paraId="5FE8B70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7DC3372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9,610</w:t>
            </w:r>
          </w:p>
        </w:tc>
        <w:tc>
          <w:tcPr>
            <w:tcW w:w="432" w:type="pct"/>
            <w:tcBorders>
              <w:top w:val="nil"/>
              <w:left w:val="nil"/>
              <w:bottom w:val="nil"/>
              <w:right w:val="nil"/>
            </w:tcBorders>
            <w:shd w:val="clear" w:color="000000" w:fill="E6F2FF"/>
            <w:noWrap/>
            <w:vAlign w:val="center"/>
            <w:hideMark/>
          </w:tcPr>
          <w:p w14:paraId="4527AD4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16,560</w:t>
            </w:r>
          </w:p>
        </w:tc>
        <w:tc>
          <w:tcPr>
            <w:tcW w:w="487" w:type="pct"/>
            <w:tcBorders>
              <w:top w:val="nil"/>
              <w:left w:val="nil"/>
              <w:bottom w:val="nil"/>
              <w:right w:val="nil"/>
            </w:tcBorders>
            <w:shd w:val="clear" w:color="000000" w:fill="FFFFFF"/>
            <w:noWrap/>
            <w:vAlign w:val="center"/>
            <w:hideMark/>
          </w:tcPr>
          <w:p w14:paraId="1E3076F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23,260</w:t>
            </w:r>
          </w:p>
        </w:tc>
        <w:tc>
          <w:tcPr>
            <w:tcW w:w="487" w:type="pct"/>
            <w:tcBorders>
              <w:top w:val="nil"/>
              <w:left w:val="nil"/>
              <w:bottom w:val="nil"/>
              <w:right w:val="nil"/>
            </w:tcBorders>
            <w:shd w:val="clear" w:color="000000" w:fill="FFFFFF"/>
            <w:noWrap/>
            <w:vAlign w:val="center"/>
            <w:hideMark/>
          </w:tcPr>
          <w:p w14:paraId="445064E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23,060</w:t>
            </w:r>
          </w:p>
        </w:tc>
        <w:tc>
          <w:tcPr>
            <w:tcW w:w="487" w:type="pct"/>
            <w:tcBorders>
              <w:top w:val="nil"/>
              <w:left w:val="nil"/>
              <w:bottom w:val="nil"/>
              <w:right w:val="nil"/>
            </w:tcBorders>
            <w:shd w:val="clear" w:color="000000" w:fill="FFFFFF"/>
            <w:noWrap/>
            <w:vAlign w:val="center"/>
            <w:hideMark/>
          </w:tcPr>
          <w:p w14:paraId="5B3AD75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25,310</w:t>
            </w:r>
          </w:p>
        </w:tc>
      </w:tr>
      <w:tr w:rsidR="00D43131" w:rsidRPr="00966BD4" w14:paraId="7E8A8E5E"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7BA7ADA"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Petroleum resource rent tax</w:t>
            </w:r>
          </w:p>
        </w:tc>
        <w:tc>
          <w:tcPr>
            <w:tcW w:w="465" w:type="pct"/>
            <w:tcBorders>
              <w:top w:val="nil"/>
              <w:left w:val="nil"/>
              <w:bottom w:val="nil"/>
              <w:right w:val="nil"/>
            </w:tcBorders>
            <w:shd w:val="clear" w:color="000000" w:fill="FFFFFF"/>
            <w:noWrap/>
            <w:vAlign w:val="center"/>
            <w:hideMark/>
          </w:tcPr>
          <w:p w14:paraId="5807D10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1,638</w:t>
            </w:r>
          </w:p>
        </w:tc>
        <w:tc>
          <w:tcPr>
            <w:tcW w:w="49" w:type="pct"/>
            <w:tcBorders>
              <w:top w:val="nil"/>
              <w:left w:val="nil"/>
              <w:bottom w:val="nil"/>
              <w:right w:val="nil"/>
            </w:tcBorders>
            <w:shd w:val="clear" w:color="000000" w:fill="FFFFFF"/>
            <w:noWrap/>
            <w:vAlign w:val="center"/>
            <w:hideMark/>
          </w:tcPr>
          <w:p w14:paraId="3EEB504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6473F0A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2,350</w:t>
            </w:r>
          </w:p>
        </w:tc>
        <w:tc>
          <w:tcPr>
            <w:tcW w:w="432" w:type="pct"/>
            <w:tcBorders>
              <w:top w:val="nil"/>
              <w:left w:val="nil"/>
              <w:bottom w:val="nil"/>
              <w:right w:val="nil"/>
            </w:tcBorders>
            <w:shd w:val="clear" w:color="000000" w:fill="E6F2FF"/>
            <w:noWrap/>
            <w:vAlign w:val="center"/>
            <w:hideMark/>
          </w:tcPr>
          <w:p w14:paraId="4EE5668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2,750</w:t>
            </w:r>
          </w:p>
        </w:tc>
        <w:tc>
          <w:tcPr>
            <w:tcW w:w="487" w:type="pct"/>
            <w:tcBorders>
              <w:top w:val="nil"/>
              <w:left w:val="nil"/>
              <w:bottom w:val="nil"/>
              <w:right w:val="nil"/>
            </w:tcBorders>
            <w:shd w:val="clear" w:color="000000" w:fill="FFFFFF"/>
            <w:noWrap/>
            <w:vAlign w:val="center"/>
            <w:hideMark/>
          </w:tcPr>
          <w:p w14:paraId="519C2E8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2,700</w:t>
            </w:r>
          </w:p>
        </w:tc>
        <w:tc>
          <w:tcPr>
            <w:tcW w:w="487" w:type="pct"/>
            <w:tcBorders>
              <w:top w:val="nil"/>
              <w:left w:val="nil"/>
              <w:bottom w:val="nil"/>
              <w:right w:val="nil"/>
            </w:tcBorders>
            <w:shd w:val="clear" w:color="000000" w:fill="FFFFFF"/>
            <w:noWrap/>
            <w:vAlign w:val="center"/>
            <w:hideMark/>
          </w:tcPr>
          <w:p w14:paraId="6FB1BBD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2,850</w:t>
            </w:r>
          </w:p>
        </w:tc>
        <w:tc>
          <w:tcPr>
            <w:tcW w:w="487" w:type="pct"/>
            <w:tcBorders>
              <w:top w:val="nil"/>
              <w:left w:val="nil"/>
              <w:bottom w:val="nil"/>
              <w:right w:val="nil"/>
            </w:tcBorders>
            <w:shd w:val="clear" w:color="000000" w:fill="FFFFFF"/>
            <w:noWrap/>
            <w:vAlign w:val="center"/>
            <w:hideMark/>
          </w:tcPr>
          <w:p w14:paraId="107F4BC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2,500</w:t>
            </w:r>
          </w:p>
        </w:tc>
      </w:tr>
      <w:tr w:rsidR="00D43131" w:rsidRPr="00966BD4" w14:paraId="109C3F77"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2484A921"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Income taxation receipts</w:t>
            </w:r>
          </w:p>
        </w:tc>
        <w:tc>
          <w:tcPr>
            <w:tcW w:w="465" w:type="pct"/>
            <w:tcBorders>
              <w:top w:val="single" w:sz="4" w:space="0" w:color="293F5B"/>
              <w:left w:val="nil"/>
              <w:bottom w:val="single" w:sz="4" w:space="0" w:color="293F5B"/>
              <w:right w:val="nil"/>
            </w:tcBorders>
            <w:shd w:val="clear" w:color="000000" w:fill="FFFFFF"/>
            <w:noWrap/>
            <w:vAlign w:val="center"/>
            <w:hideMark/>
          </w:tcPr>
          <w:p w14:paraId="10592FEE"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413,876</w:t>
            </w:r>
          </w:p>
        </w:tc>
        <w:tc>
          <w:tcPr>
            <w:tcW w:w="49" w:type="pct"/>
            <w:tcBorders>
              <w:top w:val="nil"/>
              <w:left w:val="nil"/>
              <w:bottom w:val="nil"/>
              <w:right w:val="nil"/>
            </w:tcBorders>
            <w:shd w:val="clear" w:color="000000" w:fill="FFFFFF"/>
            <w:noWrap/>
            <w:vAlign w:val="center"/>
            <w:hideMark/>
          </w:tcPr>
          <w:p w14:paraId="4890883D"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single" w:sz="4" w:space="0" w:color="293F5B"/>
              <w:left w:val="nil"/>
              <w:bottom w:val="single" w:sz="4" w:space="0" w:color="293F5B"/>
              <w:right w:val="nil"/>
            </w:tcBorders>
            <w:shd w:val="clear" w:color="000000" w:fill="FFFFFF"/>
            <w:noWrap/>
            <w:vAlign w:val="center"/>
            <w:hideMark/>
          </w:tcPr>
          <w:p w14:paraId="6BC770A3"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450,990</w:t>
            </w:r>
          </w:p>
        </w:tc>
        <w:tc>
          <w:tcPr>
            <w:tcW w:w="432" w:type="pct"/>
            <w:tcBorders>
              <w:top w:val="single" w:sz="4" w:space="0" w:color="293F5B"/>
              <w:left w:val="nil"/>
              <w:bottom w:val="single" w:sz="4" w:space="0" w:color="293F5B"/>
              <w:right w:val="nil"/>
            </w:tcBorders>
            <w:shd w:val="clear" w:color="000000" w:fill="E6F2FF"/>
            <w:noWrap/>
            <w:vAlign w:val="center"/>
            <w:hideMark/>
          </w:tcPr>
          <w:p w14:paraId="5D390D4E"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470,950</w:t>
            </w:r>
          </w:p>
        </w:tc>
        <w:tc>
          <w:tcPr>
            <w:tcW w:w="487" w:type="pct"/>
            <w:tcBorders>
              <w:top w:val="single" w:sz="4" w:space="0" w:color="293F5B"/>
              <w:left w:val="nil"/>
              <w:bottom w:val="single" w:sz="4" w:space="0" w:color="293F5B"/>
              <w:right w:val="nil"/>
            </w:tcBorders>
            <w:shd w:val="clear" w:color="000000" w:fill="FFFFFF"/>
            <w:noWrap/>
            <w:vAlign w:val="center"/>
            <w:hideMark/>
          </w:tcPr>
          <w:p w14:paraId="70C05F58"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462,510</w:t>
            </w:r>
          </w:p>
        </w:tc>
        <w:tc>
          <w:tcPr>
            <w:tcW w:w="487" w:type="pct"/>
            <w:tcBorders>
              <w:top w:val="single" w:sz="4" w:space="0" w:color="293F5B"/>
              <w:left w:val="nil"/>
              <w:bottom w:val="single" w:sz="4" w:space="0" w:color="293F5B"/>
              <w:right w:val="nil"/>
            </w:tcBorders>
            <w:shd w:val="clear" w:color="000000" w:fill="FFFFFF"/>
            <w:noWrap/>
            <w:vAlign w:val="center"/>
            <w:hideMark/>
          </w:tcPr>
          <w:p w14:paraId="1F16B665"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490,270</w:t>
            </w:r>
          </w:p>
        </w:tc>
        <w:tc>
          <w:tcPr>
            <w:tcW w:w="487" w:type="pct"/>
            <w:tcBorders>
              <w:top w:val="single" w:sz="4" w:space="0" w:color="293F5B"/>
              <w:left w:val="nil"/>
              <w:bottom w:val="single" w:sz="4" w:space="0" w:color="293F5B"/>
              <w:right w:val="nil"/>
            </w:tcBorders>
            <w:shd w:val="clear" w:color="000000" w:fill="FFFFFF"/>
            <w:noWrap/>
            <w:vAlign w:val="center"/>
            <w:hideMark/>
          </w:tcPr>
          <w:p w14:paraId="45600B3F"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515,390</w:t>
            </w:r>
          </w:p>
        </w:tc>
      </w:tr>
      <w:tr w:rsidR="00D43131" w:rsidRPr="00966BD4" w14:paraId="5356E5F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53B67F5"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Goods and services tax</w:t>
            </w:r>
          </w:p>
        </w:tc>
        <w:tc>
          <w:tcPr>
            <w:tcW w:w="465" w:type="pct"/>
            <w:tcBorders>
              <w:top w:val="nil"/>
              <w:left w:val="nil"/>
              <w:bottom w:val="nil"/>
              <w:right w:val="nil"/>
            </w:tcBorders>
            <w:shd w:val="clear" w:color="000000" w:fill="FFFFFF"/>
            <w:noWrap/>
            <w:vAlign w:val="center"/>
            <w:hideMark/>
          </w:tcPr>
          <w:p w14:paraId="631016E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73,498</w:t>
            </w:r>
          </w:p>
        </w:tc>
        <w:tc>
          <w:tcPr>
            <w:tcW w:w="49" w:type="pct"/>
            <w:tcBorders>
              <w:top w:val="nil"/>
              <w:left w:val="nil"/>
              <w:bottom w:val="nil"/>
              <w:right w:val="nil"/>
            </w:tcBorders>
            <w:shd w:val="clear" w:color="000000" w:fill="FFFFFF"/>
            <w:noWrap/>
            <w:vAlign w:val="center"/>
            <w:hideMark/>
          </w:tcPr>
          <w:p w14:paraId="7B4B107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09C3140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81,761</w:t>
            </w:r>
          </w:p>
        </w:tc>
        <w:tc>
          <w:tcPr>
            <w:tcW w:w="432" w:type="pct"/>
            <w:tcBorders>
              <w:top w:val="nil"/>
              <w:left w:val="nil"/>
              <w:bottom w:val="nil"/>
              <w:right w:val="nil"/>
            </w:tcBorders>
            <w:shd w:val="clear" w:color="000000" w:fill="E6F2FF"/>
            <w:noWrap/>
            <w:vAlign w:val="center"/>
            <w:hideMark/>
          </w:tcPr>
          <w:p w14:paraId="1BE3002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86,009</w:t>
            </w:r>
          </w:p>
        </w:tc>
        <w:tc>
          <w:tcPr>
            <w:tcW w:w="487" w:type="pct"/>
            <w:tcBorders>
              <w:top w:val="nil"/>
              <w:left w:val="nil"/>
              <w:bottom w:val="nil"/>
              <w:right w:val="nil"/>
            </w:tcBorders>
            <w:shd w:val="clear" w:color="000000" w:fill="FFFFFF"/>
            <w:noWrap/>
            <w:vAlign w:val="center"/>
            <w:hideMark/>
          </w:tcPr>
          <w:p w14:paraId="6E8A45F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89,330</w:t>
            </w:r>
          </w:p>
        </w:tc>
        <w:tc>
          <w:tcPr>
            <w:tcW w:w="487" w:type="pct"/>
            <w:tcBorders>
              <w:top w:val="nil"/>
              <w:left w:val="nil"/>
              <w:bottom w:val="nil"/>
              <w:right w:val="nil"/>
            </w:tcBorders>
            <w:shd w:val="clear" w:color="000000" w:fill="FFFFFF"/>
            <w:noWrap/>
            <w:vAlign w:val="center"/>
            <w:hideMark/>
          </w:tcPr>
          <w:p w14:paraId="49ABE8F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94,559</w:t>
            </w:r>
          </w:p>
        </w:tc>
        <w:tc>
          <w:tcPr>
            <w:tcW w:w="487" w:type="pct"/>
            <w:tcBorders>
              <w:top w:val="nil"/>
              <w:left w:val="nil"/>
              <w:bottom w:val="nil"/>
              <w:right w:val="nil"/>
            </w:tcBorders>
            <w:shd w:val="clear" w:color="000000" w:fill="FFFFFF"/>
            <w:noWrap/>
            <w:vAlign w:val="center"/>
            <w:hideMark/>
          </w:tcPr>
          <w:p w14:paraId="6315B89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100,305</w:t>
            </w:r>
          </w:p>
        </w:tc>
      </w:tr>
      <w:tr w:rsidR="00D43131" w:rsidRPr="00966BD4" w14:paraId="2F344FA4"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7C163FD"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Wine equalisation tax</w:t>
            </w:r>
          </w:p>
        </w:tc>
        <w:tc>
          <w:tcPr>
            <w:tcW w:w="465" w:type="pct"/>
            <w:tcBorders>
              <w:top w:val="nil"/>
              <w:left w:val="nil"/>
              <w:bottom w:val="nil"/>
              <w:right w:val="nil"/>
            </w:tcBorders>
            <w:shd w:val="clear" w:color="000000" w:fill="FFFFFF"/>
            <w:noWrap/>
            <w:vAlign w:val="center"/>
            <w:hideMark/>
          </w:tcPr>
          <w:p w14:paraId="6125B54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1,100</w:t>
            </w:r>
          </w:p>
        </w:tc>
        <w:tc>
          <w:tcPr>
            <w:tcW w:w="49" w:type="pct"/>
            <w:tcBorders>
              <w:top w:val="nil"/>
              <w:left w:val="nil"/>
              <w:bottom w:val="nil"/>
              <w:right w:val="nil"/>
            </w:tcBorders>
            <w:shd w:val="clear" w:color="000000" w:fill="FFFFFF"/>
            <w:noWrap/>
            <w:vAlign w:val="center"/>
            <w:hideMark/>
          </w:tcPr>
          <w:p w14:paraId="7EA852D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1A7FBB9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1,150</w:t>
            </w:r>
          </w:p>
        </w:tc>
        <w:tc>
          <w:tcPr>
            <w:tcW w:w="432" w:type="pct"/>
            <w:tcBorders>
              <w:top w:val="nil"/>
              <w:left w:val="nil"/>
              <w:bottom w:val="nil"/>
              <w:right w:val="nil"/>
            </w:tcBorders>
            <w:shd w:val="clear" w:color="000000" w:fill="E6F2FF"/>
            <w:noWrap/>
            <w:vAlign w:val="center"/>
            <w:hideMark/>
          </w:tcPr>
          <w:p w14:paraId="314D028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1,140</w:t>
            </w:r>
          </w:p>
        </w:tc>
        <w:tc>
          <w:tcPr>
            <w:tcW w:w="487" w:type="pct"/>
            <w:tcBorders>
              <w:top w:val="nil"/>
              <w:left w:val="nil"/>
              <w:bottom w:val="nil"/>
              <w:right w:val="nil"/>
            </w:tcBorders>
            <w:shd w:val="clear" w:color="000000" w:fill="FFFFFF"/>
            <w:noWrap/>
            <w:vAlign w:val="center"/>
            <w:hideMark/>
          </w:tcPr>
          <w:p w14:paraId="72679B8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1,190</w:t>
            </w:r>
          </w:p>
        </w:tc>
        <w:tc>
          <w:tcPr>
            <w:tcW w:w="487" w:type="pct"/>
            <w:tcBorders>
              <w:top w:val="nil"/>
              <w:left w:val="nil"/>
              <w:bottom w:val="nil"/>
              <w:right w:val="nil"/>
            </w:tcBorders>
            <w:shd w:val="clear" w:color="000000" w:fill="FFFFFF"/>
            <w:noWrap/>
            <w:vAlign w:val="center"/>
            <w:hideMark/>
          </w:tcPr>
          <w:p w14:paraId="0BC5C49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1,230</w:t>
            </w:r>
          </w:p>
        </w:tc>
        <w:tc>
          <w:tcPr>
            <w:tcW w:w="487" w:type="pct"/>
            <w:tcBorders>
              <w:top w:val="nil"/>
              <w:left w:val="nil"/>
              <w:bottom w:val="nil"/>
              <w:right w:val="nil"/>
            </w:tcBorders>
            <w:shd w:val="clear" w:color="000000" w:fill="FFFFFF"/>
            <w:noWrap/>
            <w:vAlign w:val="center"/>
            <w:hideMark/>
          </w:tcPr>
          <w:p w14:paraId="3D1379C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1,270</w:t>
            </w:r>
          </w:p>
        </w:tc>
      </w:tr>
      <w:tr w:rsidR="00D43131" w:rsidRPr="00966BD4" w14:paraId="6DD99870"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04E019D4"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Luxury car tax</w:t>
            </w:r>
          </w:p>
        </w:tc>
        <w:tc>
          <w:tcPr>
            <w:tcW w:w="465" w:type="pct"/>
            <w:tcBorders>
              <w:top w:val="nil"/>
              <w:left w:val="nil"/>
              <w:bottom w:val="nil"/>
              <w:right w:val="nil"/>
            </w:tcBorders>
            <w:shd w:val="clear" w:color="000000" w:fill="FFFFFF"/>
            <w:noWrap/>
            <w:vAlign w:val="center"/>
            <w:hideMark/>
          </w:tcPr>
          <w:p w14:paraId="244B85E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960</w:t>
            </w:r>
          </w:p>
        </w:tc>
        <w:tc>
          <w:tcPr>
            <w:tcW w:w="49" w:type="pct"/>
            <w:tcBorders>
              <w:top w:val="nil"/>
              <w:left w:val="nil"/>
              <w:bottom w:val="nil"/>
              <w:right w:val="nil"/>
            </w:tcBorders>
            <w:shd w:val="clear" w:color="000000" w:fill="FFFFFF"/>
            <w:noWrap/>
            <w:vAlign w:val="center"/>
            <w:hideMark/>
          </w:tcPr>
          <w:p w14:paraId="005D998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1D6E3D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1,140</w:t>
            </w:r>
          </w:p>
        </w:tc>
        <w:tc>
          <w:tcPr>
            <w:tcW w:w="432" w:type="pct"/>
            <w:tcBorders>
              <w:top w:val="nil"/>
              <w:left w:val="nil"/>
              <w:bottom w:val="nil"/>
              <w:right w:val="nil"/>
            </w:tcBorders>
            <w:shd w:val="clear" w:color="000000" w:fill="E6F2FF"/>
            <w:noWrap/>
            <w:vAlign w:val="center"/>
            <w:hideMark/>
          </w:tcPr>
          <w:p w14:paraId="4BEFCA9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870</w:t>
            </w:r>
          </w:p>
        </w:tc>
        <w:tc>
          <w:tcPr>
            <w:tcW w:w="487" w:type="pct"/>
            <w:tcBorders>
              <w:top w:val="nil"/>
              <w:left w:val="nil"/>
              <w:bottom w:val="nil"/>
              <w:right w:val="nil"/>
            </w:tcBorders>
            <w:shd w:val="clear" w:color="000000" w:fill="FFFFFF"/>
            <w:noWrap/>
            <w:vAlign w:val="center"/>
            <w:hideMark/>
          </w:tcPr>
          <w:p w14:paraId="493B9AA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840</w:t>
            </w:r>
          </w:p>
        </w:tc>
        <w:tc>
          <w:tcPr>
            <w:tcW w:w="487" w:type="pct"/>
            <w:tcBorders>
              <w:top w:val="nil"/>
              <w:left w:val="nil"/>
              <w:bottom w:val="nil"/>
              <w:right w:val="nil"/>
            </w:tcBorders>
            <w:shd w:val="clear" w:color="000000" w:fill="FFFFFF"/>
            <w:noWrap/>
            <w:vAlign w:val="center"/>
            <w:hideMark/>
          </w:tcPr>
          <w:p w14:paraId="0EA9FC4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870</w:t>
            </w:r>
          </w:p>
        </w:tc>
        <w:tc>
          <w:tcPr>
            <w:tcW w:w="487" w:type="pct"/>
            <w:tcBorders>
              <w:top w:val="nil"/>
              <w:left w:val="nil"/>
              <w:bottom w:val="nil"/>
              <w:right w:val="nil"/>
            </w:tcBorders>
            <w:shd w:val="clear" w:color="000000" w:fill="FFFFFF"/>
            <w:noWrap/>
            <w:vAlign w:val="center"/>
            <w:hideMark/>
          </w:tcPr>
          <w:p w14:paraId="2A3FD4F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910</w:t>
            </w:r>
          </w:p>
        </w:tc>
      </w:tr>
      <w:tr w:rsidR="00D43131" w:rsidRPr="00966BD4" w14:paraId="5EA05CB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FB9EDEF"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Excise and customs duty</w:t>
            </w:r>
          </w:p>
        </w:tc>
        <w:tc>
          <w:tcPr>
            <w:tcW w:w="465" w:type="pct"/>
            <w:tcBorders>
              <w:top w:val="nil"/>
              <w:left w:val="nil"/>
              <w:bottom w:val="nil"/>
              <w:right w:val="nil"/>
            </w:tcBorders>
            <w:shd w:val="clear" w:color="000000" w:fill="FFFFFF"/>
            <w:noWrap/>
            <w:vAlign w:val="center"/>
            <w:hideMark/>
          </w:tcPr>
          <w:p w14:paraId="2AE9BD5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9" w:type="pct"/>
            <w:tcBorders>
              <w:top w:val="nil"/>
              <w:left w:val="nil"/>
              <w:bottom w:val="nil"/>
              <w:right w:val="nil"/>
            </w:tcBorders>
            <w:shd w:val="clear" w:color="000000" w:fill="FFFFFF"/>
            <w:noWrap/>
            <w:vAlign w:val="center"/>
            <w:hideMark/>
          </w:tcPr>
          <w:p w14:paraId="6412AD4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3B8EF089"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E6F2FF"/>
            <w:noWrap/>
            <w:vAlign w:val="center"/>
            <w:hideMark/>
          </w:tcPr>
          <w:p w14:paraId="75AE8CE3"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445FC77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2974FD5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082716B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r>
      <w:tr w:rsidR="00D43131" w:rsidRPr="00966BD4" w14:paraId="0EF1131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9112B86"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Petrol</w:t>
            </w:r>
          </w:p>
        </w:tc>
        <w:tc>
          <w:tcPr>
            <w:tcW w:w="465" w:type="pct"/>
            <w:tcBorders>
              <w:top w:val="nil"/>
              <w:left w:val="nil"/>
              <w:bottom w:val="nil"/>
              <w:right w:val="nil"/>
            </w:tcBorders>
            <w:shd w:val="clear" w:color="000000" w:fill="FFFFFF"/>
            <w:noWrap/>
            <w:vAlign w:val="center"/>
            <w:hideMark/>
          </w:tcPr>
          <w:p w14:paraId="32BF8E1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5,015</w:t>
            </w:r>
          </w:p>
        </w:tc>
        <w:tc>
          <w:tcPr>
            <w:tcW w:w="49" w:type="pct"/>
            <w:tcBorders>
              <w:top w:val="nil"/>
              <w:left w:val="nil"/>
              <w:bottom w:val="nil"/>
              <w:right w:val="nil"/>
            </w:tcBorders>
            <w:shd w:val="clear" w:color="000000" w:fill="FFFFFF"/>
            <w:noWrap/>
            <w:vAlign w:val="center"/>
            <w:hideMark/>
          </w:tcPr>
          <w:p w14:paraId="79BBF7F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3B242A6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5,600</w:t>
            </w:r>
          </w:p>
        </w:tc>
        <w:tc>
          <w:tcPr>
            <w:tcW w:w="432" w:type="pct"/>
            <w:tcBorders>
              <w:top w:val="nil"/>
              <w:left w:val="nil"/>
              <w:bottom w:val="nil"/>
              <w:right w:val="nil"/>
            </w:tcBorders>
            <w:shd w:val="clear" w:color="000000" w:fill="E6F2FF"/>
            <w:noWrap/>
            <w:vAlign w:val="center"/>
            <w:hideMark/>
          </w:tcPr>
          <w:p w14:paraId="757C68E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7,350</w:t>
            </w:r>
          </w:p>
        </w:tc>
        <w:tc>
          <w:tcPr>
            <w:tcW w:w="487" w:type="pct"/>
            <w:tcBorders>
              <w:top w:val="nil"/>
              <w:left w:val="nil"/>
              <w:bottom w:val="nil"/>
              <w:right w:val="nil"/>
            </w:tcBorders>
            <w:shd w:val="clear" w:color="000000" w:fill="FFFFFF"/>
            <w:noWrap/>
            <w:vAlign w:val="center"/>
            <w:hideMark/>
          </w:tcPr>
          <w:p w14:paraId="40D0F61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7,750</w:t>
            </w:r>
          </w:p>
        </w:tc>
        <w:tc>
          <w:tcPr>
            <w:tcW w:w="487" w:type="pct"/>
            <w:tcBorders>
              <w:top w:val="nil"/>
              <w:left w:val="nil"/>
              <w:bottom w:val="nil"/>
              <w:right w:val="nil"/>
            </w:tcBorders>
            <w:shd w:val="clear" w:color="000000" w:fill="FFFFFF"/>
            <w:noWrap/>
            <w:vAlign w:val="center"/>
            <w:hideMark/>
          </w:tcPr>
          <w:p w14:paraId="2B7E264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7,500</w:t>
            </w:r>
          </w:p>
        </w:tc>
        <w:tc>
          <w:tcPr>
            <w:tcW w:w="487" w:type="pct"/>
            <w:tcBorders>
              <w:top w:val="nil"/>
              <w:left w:val="nil"/>
              <w:bottom w:val="nil"/>
              <w:right w:val="nil"/>
            </w:tcBorders>
            <w:shd w:val="clear" w:color="000000" w:fill="FFFFFF"/>
            <w:noWrap/>
            <w:vAlign w:val="center"/>
            <w:hideMark/>
          </w:tcPr>
          <w:p w14:paraId="218F3BA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7,750</w:t>
            </w:r>
          </w:p>
        </w:tc>
      </w:tr>
      <w:tr w:rsidR="00D43131" w:rsidRPr="00966BD4" w14:paraId="3DAB07F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1756E5B"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Diesel</w:t>
            </w:r>
          </w:p>
        </w:tc>
        <w:tc>
          <w:tcPr>
            <w:tcW w:w="465" w:type="pct"/>
            <w:tcBorders>
              <w:top w:val="nil"/>
              <w:left w:val="nil"/>
              <w:bottom w:val="nil"/>
              <w:right w:val="nil"/>
            </w:tcBorders>
            <w:shd w:val="clear" w:color="000000" w:fill="FFFFFF"/>
            <w:noWrap/>
            <w:vAlign w:val="center"/>
            <w:hideMark/>
          </w:tcPr>
          <w:p w14:paraId="21178A9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11,744</w:t>
            </w:r>
          </w:p>
        </w:tc>
        <w:tc>
          <w:tcPr>
            <w:tcW w:w="49" w:type="pct"/>
            <w:tcBorders>
              <w:top w:val="nil"/>
              <w:left w:val="nil"/>
              <w:bottom w:val="nil"/>
              <w:right w:val="nil"/>
            </w:tcBorders>
            <w:shd w:val="clear" w:color="000000" w:fill="FFFFFF"/>
            <w:noWrap/>
            <w:vAlign w:val="center"/>
            <w:hideMark/>
          </w:tcPr>
          <w:p w14:paraId="1F2C0A5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779646E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13,110</w:t>
            </w:r>
          </w:p>
        </w:tc>
        <w:tc>
          <w:tcPr>
            <w:tcW w:w="432" w:type="pct"/>
            <w:tcBorders>
              <w:top w:val="nil"/>
              <w:left w:val="nil"/>
              <w:bottom w:val="nil"/>
              <w:right w:val="nil"/>
            </w:tcBorders>
            <w:shd w:val="clear" w:color="000000" w:fill="E6F2FF"/>
            <w:noWrap/>
            <w:vAlign w:val="center"/>
            <w:hideMark/>
          </w:tcPr>
          <w:p w14:paraId="5B2B2A2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15,830</w:t>
            </w:r>
          </w:p>
        </w:tc>
        <w:tc>
          <w:tcPr>
            <w:tcW w:w="487" w:type="pct"/>
            <w:tcBorders>
              <w:top w:val="nil"/>
              <w:left w:val="nil"/>
              <w:bottom w:val="nil"/>
              <w:right w:val="nil"/>
            </w:tcBorders>
            <w:shd w:val="clear" w:color="000000" w:fill="FFFFFF"/>
            <w:noWrap/>
            <w:vAlign w:val="center"/>
            <w:hideMark/>
          </w:tcPr>
          <w:p w14:paraId="21FD7F1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16,720</w:t>
            </w:r>
          </w:p>
        </w:tc>
        <w:tc>
          <w:tcPr>
            <w:tcW w:w="487" w:type="pct"/>
            <w:tcBorders>
              <w:top w:val="nil"/>
              <w:left w:val="nil"/>
              <w:bottom w:val="nil"/>
              <w:right w:val="nil"/>
            </w:tcBorders>
            <w:shd w:val="clear" w:color="000000" w:fill="FFFFFF"/>
            <w:noWrap/>
            <w:vAlign w:val="center"/>
            <w:hideMark/>
          </w:tcPr>
          <w:p w14:paraId="1500D25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17,380</w:t>
            </w:r>
          </w:p>
        </w:tc>
        <w:tc>
          <w:tcPr>
            <w:tcW w:w="487" w:type="pct"/>
            <w:tcBorders>
              <w:top w:val="nil"/>
              <w:left w:val="nil"/>
              <w:bottom w:val="nil"/>
              <w:right w:val="nil"/>
            </w:tcBorders>
            <w:shd w:val="clear" w:color="000000" w:fill="FFFFFF"/>
            <w:noWrap/>
            <w:vAlign w:val="center"/>
            <w:hideMark/>
          </w:tcPr>
          <w:p w14:paraId="5B93518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18,180</w:t>
            </w:r>
          </w:p>
        </w:tc>
      </w:tr>
      <w:tr w:rsidR="00D43131" w:rsidRPr="00966BD4" w14:paraId="66D13A77"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655DBF2F"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Other fuel products</w:t>
            </w:r>
          </w:p>
        </w:tc>
        <w:tc>
          <w:tcPr>
            <w:tcW w:w="465" w:type="pct"/>
            <w:tcBorders>
              <w:top w:val="nil"/>
              <w:left w:val="nil"/>
              <w:bottom w:val="nil"/>
              <w:right w:val="nil"/>
            </w:tcBorders>
            <w:shd w:val="clear" w:color="000000" w:fill="FFFFFF"/>
            <w:noWrap/>
            <w:vAlign w:val="center"/>
            <w:hideMark/>
          </w:tcPr>
          <w:p w14:paraId="587C653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1,521</w:t>
            </w:r>
          </w:p>
        </w:tc>
        <w:tc>
          <w:tcPr>
            <w:tcW w:w="49" w:type="pct"/>
            <w:tcBorders>
              <w:top w:val="nil"/>
              <w:left w:val="nil"/>
              <w:bottom w:val="nil"/>
              <w:right w:val="nil"/>
            </w:tcBorders>
            <w:shd w:val="clear" w:color="000000" w:fill="FFFFFF"/>
            <w:noWrap/>
            <w:vAlign w:val="center"/>
            <w:hideMark/>
          </w:tcPr>
          <w:p w14:paraId="37439B1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37A280D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2,760</w:t>
            </w:r>
          </w:p>
        </w:tc>
        <w:tc>
          <w:tcPr>
            <w:tcW w:w="432" w:type="pct"/>
            <w:tcBorders>
              <w:top w:val="nil"/>
              <w:left w:val="nil"/>
              <w:bottom w:val="nil"/>
              <w:right w:val="nil"/>
            </w:tcBorders>
            <w:shd w:val="clear" w:color="000000" w:fill="E6F2FF"/>
            <w:noWrap/>
            <w:vAlign w:val="center"/>
            <w:hideMark/>
          </w:tcPr>
          <w:p w14:paraId="7035F27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2,080</w:t>
            </w:r>
          </w:p>
        </w:tc>
        <w:tc>
          <w:tcPr>
            <w:tcW w:w="487" w:type="pct"/>
            <w:tcBorders>
              <w:top w:val="nil"/>
              <w:left w:val="nil"/>
              <w:bottom w:val="nil"/>
              <w:right w:val="nil"/>
            </w:tcBorders>
            <w:shd w:val="clear" w:color="000000" w:fill="FFFFFF"/>
            <w:noWrap/>
            <w:vAlign w:val="center"/>
            <w:hideMark/>
          </w:tcPr>
          <w:p w14:paraId="60A31C0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2,150</w:t>
            </w:r>
          </w:p>
        </w:tc>
        <w:tc>
          <w:tcPr>
            <w:tcW w:w="487" w:type="pct"/>
            <w:tcBorders>
              <w:top w:val="nil"/>
              <w:left w:val="nil"/>
              <w:bottom w:val="nil"/>
              <w:right w:val="nil"/>
            </w:tcBorders>
            <w:shd w:val="clear" w:color="000000" w:fill="FFFFFF"/>
            <w:noWrap/>
            <w:vAlign w:val="center"/>
            <w:hideMark/>
          </w:tcPr>
          <w:p w14:paraId="6C76913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2,160</w:t>
            </w:r>
          </w:p>
        </w:tc>
        <w:tc>
          <w:tcPr>
            <w:tcW w:w="487" w:type="pct"/>
            <w:tcBorders>
              <w:top w:val="nil"/>
              <w:left w:val="nil"/>
              <w:bottom w:val="nil"/>
              <w:right w:val="nil"/>
            </w:tcBorders>
            <w:shd w:val="clear" w:color="000000" w:fill="FFFFFF"/>
            <w:noWrap/>
            <w:vAlign w:val="center"/>
            <w:hideMark/>
          </w:tcPr>
          <w:p w14:paraId="1BAD6A3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2,220</w:t>
            </w:r>
          </w:p>
        </w:tc>
      </w:tr>
      <w:tr w:rsidR="00D43131" w:rsidRPr="00966BD4" w14:paraId="37EB056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03BCC9B1"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Tobacco</w:t>
            </w:r>
          </w:p>
        </w:tc>
        <w:tc>
          <w:tcPr>
            <w:tcW w:w="465" w:type="pct"/>
            <w:tcBorders>
              <w:top w:val="nil"/>
              <w:left w:val="nil"/>
              <w:bottom w:val="nil"/>
              <w:right w:val="nil"/>
            </w:tcBorders>
            <w:shd w:val="clear" w:color="000000" w:fill="FFFFFF"/>
            <w:noWrap/>
            <w:vAlign w:val="center"/>
            <w:hideMark/>
          </w:tcPr>
          <w:p w14:paraId="7C92325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12,604</w:t>
            </w:r>
          </w:p>
        </w:tc>
        <w:tc>
          <w:tcPr>
            <w:tcW w:w="49" w:type="pct"/>
            <w:tcBorders>
              <w:top w:val="nil"/>
              <w:left w:val="nil"/>
              <w:bottom w:val="nil"/>
              <w:right w:val="nil"/>
            </w:tcBorders>
            <w:shd w:val="clear" w:color="000000" w:fill="FFFFFF"/>
            <w:noWrap/>
            <w:vAlign w:val="center"/>
            <w:hideMark/>
          </w:tcPr>
          <w:p w14:paraId="0FA1FF7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4D1184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12,700</w:t>
            </w:r>
          </w:p>
        </w:tc>
        <w:tc>
          <w:tcPr>
            <w:tcW w:w="432" w:type="pct"/>
            <w:tcBorders>
              <w:top w:val="nil"/>
              <w:left w:val="nil"/>
              <w:bottom w:val="nil"/>
              <w:right w:val="nil"/>
            </w:tcBorders>
            <w:shd w:val="clear" w:color="000000" w:fill="E6F2FF"/>
            <w:noWrap/>
            <w:vAlign w:val="center"/>
            <w:hideMark/>
          </w:tcPr>
          <w:p w14:paraId="749CEBD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12,900</w:t>
            </w:r>
          </w:p>
        </w:tc>
        <w:tc>
          <w:tcPr>
            <w:tcW w:w="487" w:type="pct"/>
            <w:tcBorders>
              <w:top w:val="nil"/>
              <w:left w:val="nil"/>
              <w:bottom w:val="nil"/>
              <w:right w:val="nil"/>
            </w:tcBorders>
            <w:shd w:val="clear" w:color="000000" w:fill="FFFFFF"/>
            <w:noWrap/>
            <w:vAlign w:val="center"/>
            <w:hideMark/>
          </w:tcPr>
          <w:p w14:paraId="430FF8E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13,450</w:t>
            </w:r>
          </w:p>
        </w:tc>
        <w:tc>
          <w:tcPr>
            <w:tcW w:w="487" w:type="pct"/>
            <w:tcBorders>
              <w:top w:val="nil"/>
              <w:left w:val="nil"/>
              <w:bottom w:val="nil"/>
              <w:right w:val="nil"/>
            </w:tcBorders>
            <w:shd w:val="clear" w:color="000000" w:fill="FFFFFF"/>
            <w:noWrap/>
            <w:vAlign w:val="center"/>
            <w:hideMark/>
          </w:tcPr>
          <w:p w14:paraId="56CCD4D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14,200</w:t>
            </w:r>
          </w:p>
        </w:tc>
        <w:tc>
          <w:tcPr>
            <w:tcW w:w="487" w:type="pct"/>
            <w:tcBorders>
              <w:top w:val="nil"/>
              <w:left w:val="nil"/>
              <w:bottom w:val="nil"/>
              <w:right w:val="nil"/>
            </w:tcBorders>
            <w:shd w:val="clear" w:color="000000" w:fill="FFFFFF"/>
            <w:noWrap/>
            <w:vAlign w:val="center"/>
            <w:hideMark/>
          </w:tcPr>
          <w:p w14:paraId="0B0E1FE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14,650</w:t>
            </w:r>
          </w:p>
        </w:tc>
      </w:tr>
      <w:tr w:rsidR="00D43131" w:rsidRPr="00966BD4" w14:paraId="2E34DF51"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E3A7557"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Beer</w:t>
            </w:r>
          </w:p>
        </w:tc>
        <w:tc>
          <w:tcPr>
            <w:tcW w:w="465" w:type="pct"/>
            <w:tcBorders>
              <w:top w:val="nil"/>
              <w:left w:val="nil"/>
              <w:bottom w:val="nil"/>
              <w:right w:val="nil"/>
            </w:tcBorders>
            <w:shd w:val="clear" w:color="000000" w:fill="FFFFFF"/>
            <w:noWrap/>
            <w:vAlign w:val="center"/>
            <w:hideMark/>
          </w:tcPr>
          <w:p w14:paraId="33B4644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2,461</w:t>
            </w:r>
          </w:p>
        </w:tc>
        <w:tc>
          <w:tcPr>
            <w:tcW w:w="49" w:type="pct"/>
            <w:tcBorders>
              <w:top w:val="nil"/>
              <w:left w:val="nil"/>
              <w:bottom w:val="nil"/>
              <w:right w:val="nil"/>
            </w:tcBorders>
            <w:shd w:val="clear" w:color="000000" w:fill="FFFFFF"/>
            <w:noWrap/>
            <w:vAlign w:val="center"/>
            <w:hideMark/>
          </w:tcPr>
          <w:p w14:paraId="2A787B5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6B20C09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2,590</w:t>
            </w:r>
          </w:p>
        </w:tc>
        <w:tc>
          <w:tcPr>
            <w:tcW w:w="432" w:type="pct"/>
            <w:tcBorders>
              <w:top w:val="nil"/>
              <w:left w:val="nil"/>
              <w:bottom w:val="nil"/>
              <w:right w:val="nil"/>
            </w:tcBorders>
            <w:shd w:val="clear" w:color="000000" w:fill="E6F2FF"/>
            <w:noWrap/>
            <w:vAlign w:val="center"/>
            <w:hideMark/>
          </w:tcPr>
          <w:p w14:paraId="6289A16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2,640</w:t>
            </w:r>
          </w:p>
        </w:tc>
        <w:tc>
          <w:tcPr>
            <w:tcW w:w="487" w:type="pct"/>
            <w:tcBorders>
              <w:top w:val="nil"/>
              <w:left w:val="nil"/>
              <w:bottom w:val="nil"/>
              <w:right w:val="nil"/>
            </w:tcBorders>
            <w:shd w:val="clear" w:color="000000" w:fill="FFFFFF"/>
            <w:noWrap/>
            <w:vAlign w:val="center"/>
            <w:hideMark/>
          </w:tcPr>
          <w:p w14:paraId="55027F2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2,840</w:t>
            </w:r>
          </w:p>
        </w:tc>
        <w:tc>
          <w:tcPr>
            <w:tcW w:w="487" w:type="pct"/>
            <w:tcBorders>
              <w:top w:val="nil"/>
              <w:left w:val="nil"/>
              <w:bottom w:val="nil"/>
              <w:right w:val="nil"/>
            </w:tcBorders>
            <w:shd w:val="clear" w:color="000000" w:fill="FFFFFF"/>
            <w:noWrap/>
            <w:vAlign w:val="center"/>
            <w:hideMark/>
          </w:tcPr>
          <w:p w14:paraId="5BD5E47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2,900</w:t>
            </w:r>
          </w:p>
        </w:tc>
        <w:tc>
          <w:tcPr>
            <w:tcW w:w="487" w:type="pct"/>
            <w:tcBorders>
              <w:top w:val="nil"/>
              <w:left w:val="nil"/>
              <w:bottom w:val="nil"/>
              <w:right w:val="nil"/>
            </w:tcBorders>
            <w:shd w:val="clear" w:color="000000" w:fill="FFFFFF"/>
            <w:noWrap/>
            <w:vAlign w:val="center"/>
            <w:hideMark/>
          </w:tcPr>
          <w:p w14:paraId="37AACAD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3,000</w:t>
            </w:r>
          </w:p>
        </w:tc>
      </w:tr>
      <w:tr w:rsidR="00D43131" w:rsidRPr="00966BD4" w14:paraId="6ED4371A"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D680343"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Spirits</w:t>
            </w:r>
          </w:p>
        </w:tc>
        <w:tc>
          <w:tcPr>
            <w:tcW w:w="465" w:type="pct"/>
            <w:tcBorders>
              <w:top w:val="nil"/>
              <w:left w:val="nil"/>
              <w:bottom w:val="nil"/>
              <w:right w:val="nil"/>
            </w:tcBorders>
            <w:shd w:val="clear" w:color="000000" w:fill="FFFFFF"/>
            <w:noWrap/>
            <w:vAlign w:val="center"/>
            <w:hideMark/>
          </w:tcPr>
          <w:p w14:paraId="5A51FD3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3,213</w:t>
            </w:r>
          </w:p>
        </w:tc>
        <w:tc>
          <w:tcPr>
            <w:tcW w:w="49" w:type="pct"/>
            <w:tcBorders>
              <w:top w:val="nil"/>
              <w:left w:val="nil"/>
              <w:bottom w:val="nil"/>
              <w:right w:val="nil"/>
            </w:tcBorders>
            <w:shd w:val="clear" w:color="000000" w:fill="FFFFFF"/>
            <w:noWrap/>
            <w:vAlign w:val="center"/>
            <w:hideMark/>
          </w:tcPr>
          <w:p w14:paraId="166B81E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3562E50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3,390</w:t>
            </w:r>
          </w:p>
        </w:tc>
        <w:tc>
          <w:tcPr>
            <w:tcW w:w="432" w:type="pct"/>
            <w:tcBorders>
              <w:top w:val="nil"/>
              <w:left w:val="nil"/>
              <w:bottom w:val="nil"/>
              <w:right w:val="nil"/>
            </w:tcBorders>
            <w:shd w:val="clear" w:color="000000" w:fill="E6F2FF"/>
            <w:noWrap/>
            <w:vAlign w:val="center"/>
            <w:hideMark/>
          </w:tcPr>
          <w:p w14:paraId="2DF988F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3,540</w:t>
            </w:r>
          </w:p>
        </w:tc>
        <w:tc>
          <w:tcPr>
            <w:tcW w:w="487" w:type="pct"/>
            <w:tcBorders>
              <w:top w:val="nil"/>
              <w:left w:val="nil"/>
              <w:bottom w:val="nil"/>
              <w:right w:val="nil"/>
            </w:tcBorders>
            <w:shd w:val="clear" w:color="000000" w:fill="FFFFFF"/>
            <w:noWrap/>
            <w:vAlign w:val="center"/>
            <w:hideMark/>
          </w:tcPr>
          <w:p w14:paraId="5908983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3,810</w:t>
            </w:r>
          </w:p>
        </w:tc>
        <w:tc>
          <w:tcPr>
            <w:tcW w:w="487" w:type="pct"/>
            <w:tcBorders>
              <w:top w:val="nil"/>
              <w:left w:val="nil"/>
              <w:bottom w:val="nil"/>
              <w:right w:val="nil"/>
            </w:tcBorders>
            <w:shd w:val="clear" w:color="000000" w:fill="FFFFFF"/>
            <w:noWrap/>
            <w:vAlign w:val="center"/>
            <w:hideMark/>
          </w:tcPr>
          <w:p w14:paraId="39C4551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3,900</w:t>
            </w:r>
          </w:p>
        </w:tc>
        <w:tc>
          <w:tcPr>
            <w:tcW w:w="487" w:type="pct"/>
            <w:tcBorders>
              <w:top w:val="nil"/>
              <w:left w:val="nil"/>
              <w:bottom w:val="nil"/>
              <w:right w:val="nil"/>
            </w:tcBorders>
            <w:shd w:val="clear" w:color="000000" w:fill="FFFFFF"/>
            <w:noWrap/>
            <w:vAlign w:val="center"/>
            <w:hideMark/>
          </w:tcPr>
          <w:p w14:paraId="3C0033E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4,020</w:t>
            </w:r>
          </w:p>
        </w:tc>
      </w:tr>
      <w:tr w:rsidR="00D43131" w:rsidRPr="00966BD4" w14:paraId="4C82E8C2"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E52C8E5"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Other alcoholic beverages(a)</w:t>
            </w:r>
          </w:p>
        </w:tc>
        <w:tc>
          <w:tcPr>
            <w:tcW w:w="465" w:type="pct"/>
            <w:tcBorders>
              <w:top w:val="nil"/>
              <w:left w:val="nil"/>
              <w:bottom w:val="nil"/>
              <w:right w:val="nil"/>
            </w:tcBorders>
            <w:shd w:val="clear" w:color="000000" w:fill="FFFFFF"/>
            <w:noWrap/>
            <w:vAlign w:val="center"/>
            <w:hideMark/>
          </w:tcPr>
          <w:p w14:paraId="28F1DB2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1,456</w:t>
            </w:r>
          </w:p>
        </w:tc>
        <w:tc>
          <w:tcPr>
            <w:tcW w:w="49" w:type="pct"/>
            <w:tcBorders>
              <w:top w:val="nil"/>
              <w:left w:val="nil"/>
              <w:bottom w:val="nil"/>
              <w:right w:val="nil"/>
            </w:tcBorders>
            <w:shd w:val="clear" w:color="000000" w:fill="FFFFFF"/>
            <w:noWrap/>
            <w:vAlign w:val="center"/>
            <w:hideMark/>
          </w:tcPr>
          <w:p w14:paraId="61701D9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52CD25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1,640</w:t>
            </w:r>
          </w:p>
        </w:tc>
        <w:tc>
          <w:tcPr>
            <w:tcW w:w="432" w:type="pct"/>
            <w:tcBorders>
              <w:top w:val="nil"/>
              <w:left w:val="nil"/>
              <w:bottom w:val="nil"/>
              <w:right w:val="nil"/>
            </w:tcBorders>
            <w:shd w:val="clear" w:color="000000" w:fill="E6F2FF"/>
            <w:noWrap/>
            <w:vAlign w:val="center"/>
            <w:hideMark/>
          </w:tcPr>
          <w:p w14:paraId="438E70A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1,680</w:t>
            </w:r>
          </w:p>
        </w:tc>
        <w:tc>
          <w:tcPr>
            <w:tcW w:w="487" w:type="pct"/>
            <w:tcBorders>
              <w:top w:val="nil"/>
              <w:left w:val="nil"/>
              <w:bottom w:val="nil"/>
              <w:right w:val="nil"/>
            </w:tcBorders>
            <w:shd w:val="clear" w:color="000000" w:fill="FFFFFF"/>
            <w:noWrap/>
            <w:vAlign w:val="center"/>
            <w:hideMark/>
          </w:tcPr>
          <w:p w14:paraId="4A84AC1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1,810</w:t>
            </w:r>
          </w:p>
        </w:tc>
        <w:tc>
          <w:tcPr>
            <w:tcW w:w="487" w:type="pct"/>
            <w:tcBorders>
              <w:top w:val="nil"/>
              <w:left w:val="nil"/>
              <w:bottom w:val="nil"/>
              <w:right w:val="nil"/>
            </w:tcBorders>
            <w:shd w:val="clear" w:color="000000" w:fill="FFFFFF"/>
            <w:noWrap/>
            <w:vAlign w:val="center"/>
            <w:hideMark/>
          </w:tcPr>
          <w:p w14:paraId="5ECA6D4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1,840</w:t>
            </w:r>
          </w:p>
        </w:tc>
        <w:tc>
          <w:tcPr>
            <w:tcW w:w="487" w:type="pct"/>
            <w:tcBorders>
              <w:top w:val="nil"/>
              <w:left w:val="nil"/>
              <w:bottom w:val="nil"/>
              <w:right w:val="nil"/>
            </w:tcBorders>
            <w:shd w:val="clear" w:color="000000" w:fill="FFFFFF"/>
            <w:noWrap/>
            <w:vAlign w:val="center"/>
            <w:hideMark/>
          </w:tcPr>
          <w:p w14:paraId="16D034B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1,900</w:t>
            </w:r>
          </w:p>
        </w:tc>
      </w:tr>
      <w:tr w:rsidR="00D43131" w:rsidRPr="00966BD4" w14:paraId="222D8230"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5282E9F"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Other customs duty</w:t>
            </w:r>
          </w:p>
        </w:tc>
        <w:tc>
          <w:tcPr>
            <w:tcW w:w="465" w:type="pct"/>
            <w:tcBorders>
              <w:top w:val="nil"/>
              <w:left w:val="nil"/>
              <w:bottom w:val="nil"/>
              <w:right w:val="nil"/>
            </w:tcBorders>
            <w:shd w:val="clear" w:color="000000" w:fill="FFFFFF"/>
            <w:noWrap/>
            <w:vAlign w:val="center"/>
            <w:hideMark/>
          </w:tcPr>
          <w:p w14:paraId="019162E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9" w:type="pct"/>
            <w:tcBorders>
              <w:top w:val="nil"/>
              <w:left w:val="nil"/>
              <w:bottom w:val="nil"/>
              <w:right w:val="nil"/>
            </w:tcBorders>
            <w:shd w:val="clear" w:color="000000" w:fill="FFFFFF"/>
            <w:noWrap/>
            <w:vAlign w:val="center"/>
            <w:hideMark/>
          </w:tcPr>
          <w:p w14:paraId="418CFDC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8F0B9C6"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E6F2FF"/>
            <w:noWrap/>
            <w:vAlign w:val="center"/>
            <w:hideMark/>
          </w:tcPr>
          <w:p w14:paraId="2613B740"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5D69CF5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3F4331B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87" w:type="pct"/>
            <w:tcBorders>
              <w:top w:val="nil"/>
              <w:left w:val="nil"/>
              <w:bottom w:val="nil"/>
              <w:right w:val="nil"/>
            </w:tcBorders>
            <w:shd w:val="clear" w:color="000000" w:fill="FFFFFF"/>
            <w:noWrap/>
            <w:vAlign w:val="center"/>
            <w:hideMark/>
          </w:tcPr>
          <w:p w14:paraId="0FD60FE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r>
      <w:tr w:rsidR="00D43131" w:rsidRPr="00966BD4" w14:paraId="797B6234" w14:textId="77777777" w:rsidTr="00D43131">
        <w:trPr>
          <w:divId w:val="1981614279"/>
          <w:trHeight w:hRule="exact" w:val="226"/>
        </w:trPr>
        <w:tc>
          <w:tcPr>
            <w:tcW w:w="2161" w:type="pct"/>
            <w:tcBorders>
              <w:top w:val="nil"/>
              <w:left w:val="nil"/>
              <w:bottom w:val="nil"/>
              <w:right w:val="nil"/>
            </w:tcBorders>
            <w:shd w:val="clear" w:color="000000" w:fill="FFFFFF"/>
            <w:noWrap/>
            <w:vAlign w:val="bottom"/>
            <w:hideMark/>
          </w:tcPr>
          <w:p w14:paraId="46E840C8"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 xml:space="preserve">    Textiles, clothing and footwear</w:t>
            </w:r>
          </w:p>
        </w:tc>
        <w:tc>
          <w:tcPr>
            <w:tcW w:w="465" w:type="pct"/>
            <w:tcBorders>
              <w:top w:val="nil"/>
              <w:left w:val="nil"/>
              <w:bottom w:val="nil"/>
              <w:right w:val="nil"/>
            </w:tcBorders>
            <w:shd w:val="clear" w:color="000000" w:fill="FFFFFF"/>
            <w:noWrap/>
            <w:vAlign w:val="center"/>
            <w:hideMark/>
          </w:tcPr>
          <w:p w14:paraId="570A0E3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192</w:t>
            </w:r>
          </w:p>
        </w:tc>
        <w:tc>
          <w:tcPr>
            <w:tcW w:w="49" w:type="pct"/>
            <w:tcBorders>
              <w:top w:val="nil"/>
              <w:left w:val="nil"/>
              <w:bottom w:val="nil"/>
              <w:right w:val="nil"/>
            </w:tcBorders>
            <w:shd w:val="clear" w:color="000000" w:fill="FFFFFF"/>
            <w:noWrap/>
            <w:vAlign w:val="center"/>
            <w:hideMark/>
          </w:tcPr>
          <w:p w14:paraId="37D08B2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67841D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190</w:t>
            </w:r>
          </w:p>
        </w:tc>
        <w:tc>
          <w:tcPr>
            <w:tcW w:w="432" w:type="pct"/>
            <w:tcBorders>
              <w:top w:val="nil"/>
              <w:left w:val="nil"/>
              <w:bottom w:val="nil"/>
              <w:right w:val="nil"/>
            </w:tcBorders>
            <w:shd w:val="clear" w:color="000000" w:fill="E6F2FF"/>
            <w:noWrap/>
            <w:vAlign w:val="center"/>
            <w:hideMark/>
          </w:tcPr>
          <w:p w14:paraId="5E81F48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170</w:t>
            </w:r>
          </w:p>
        </w:tc>
        <w:tc>
          <w:tcPr>
            <w:tcW w:w="487" w:type="pct"/>
            <w:tcBorders>
              <w:top w:val="nil"/>
              <w:left w:val="nil"/>
              <w:bottom w:val="nil"/>
              <w:right w:val="nil"/>
            </w:tcBorders>
            <w:shd w:val="clear" w:color="000000" w:fill="FFFFFF"/>
            <w:noWrap/>
            <w:vAlign w:val="center"/>
            <w:hideMark/>
          </w:tcPr>
          <w:p w14:paraId="3A8E8D5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170</w:t>
            </w:r>
          </w:p>
        </w:tc>
        <w:tc>
          <w:tcPr>
            <w:tcW w:w="487" w:type="pct"/>
            <w:tcBorders>
              <w:top w:val="nil"/>
              <w:left w:val="nil"/>
              <w:bottom w:val="nil"/>
              <w:right w:val="nil"/>
            </w:tcBorders>
            <w:shd w:val="clear" w:color="000000" w:fill="FFFFFF"/>
            <w:noWrap/>
            <w:vAlign w:val="center"/>
            <w:hideMark/>
          </w:tcPr>
          <w:p w14:paraId="09D172E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130</w:t>
            </w:r>
          </w:p>
        </w:tc>
        <w:tc>
          <w:tcPr>
            <w:tcW w:w="487" w:type="pct"/>
            <w:tcBorders>
              <w:top w:val="nil"/>
              <w:left w:val="nil"/>
              <w:bottom w:val="nil"/>
              <w:right w:val="nil"/>
            </w:tcBorders>
            <w:shd w:val="clear" w:color="000000" w:fill="FFFFFF"/>
            <w:noWrap/>
            <w:vAlign w:val="center"/>
            <w:hideMark/>
          </w:tcPr>
          <w:p w14:paraId="43323DD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170</w:t>
            </w:r>
          </w:p>
        </w:tc>
      </w:tr>
      <w:tr w:rsidR="00D43131" w:rsidRPr="00966BD4" w14:paraId="4635AFCD" w14:textId="77777777" w:rsidTr="00D43131">
        <w:trPr>
          <w:divId w:val="1981614279"/>
          <w:trHeight w:hRule="exact" w:val="226"/>
        </w:trPr>
        <w:tc>
          <w:tcPr>
            <w:tcW w:w="2161" w:type="pct"/>
            <w:tcBorders>
              <w:top w:val="nil"/>
              <w:left w:val="nil"/>
              <w:bottom w:val="nil"/>
              <w:right w:val="nil"/>
            </w:tcBorders>
            <w:shd w:val="clear" w:color="000000" w:fill="FFFFFF"/>
            <w:noWrap/>
            <w:vAlign w:val="bottom"/>
            <w:hideMark/>
          </w:tcPr>
          <w:p w14:paraId="0D7363D3"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 xml:space="preserve">    Passenger motor vehicles</w:t>
            </w:r>
          </w:p>
        </w:tc>
        <w:tc>
          <w:tcPr>
            <w:tcW w:w="465" w:type="pct"/>
            <w:tcBorders>
              <w:top w:val="nil"/>
              <w:left w:val="nil"/>
              <w:bottom w:val="nil"/>
              <w:right w:val="nil"/>
            </w:tcBorders>
            <w:shd w:val="clear" w:color="000000" w:fill="FFFFFF"/>
            <w:noWrap/>
            <w:vAlign w:val="center"/>
            <w:hideMark/>
          </w:tcPr>
          <w:p w14:paraId="1EC93DB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361</w:t>
            </w:r>
          </w:p>
        </w:tc>
        <w:tc>
          <w:tcPr>
            <w:tcW w:w="49" w:type="pct"/>
            <w:tcBorders>
              <w:top w:val="nil"/>
              <w:left w:val="nil"/>
              <w:bottom w:val="nil"/>
              <w:right w:val="nil"/>
            </w:tcBorders>
            <w:shd w:val="clear" w:color="000000" w:fill="FFFFFF"/>
            <w:noWrap/>
            <w:vAlign w:val="center"/>
            <w:hideMark/>
          </w:tcPr>
          <w:p w14:paraId="29525C5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57AC756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440</w:t>
            </w:r>
          </w:p>
        </w:tc>
        <w:tc>
          <w:tcPr>
            <w:tcW w:w="432" w:type="pct"/>
            <w:tcBorders>
              <w:top w:val="nil"/>
              <w:left w:val="nil"/>
              <w:bottom w:val="nil"/>
              <w:right w:val="nil"/>
            </w:tcBorders>
            <w:shd w:val="clear" w:color="000000" w:fill="E6F2FF"/>
            <w:noWrap/>
            <w:vAlign w:val="center"/>
            <w:hideMark/>
          </w:tcPr>
          <w:p w14:paraId="0E20D26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430</w:t>
            </w:r>
          </w:p>
        </w:tc>
        <w:tc>
          <w:tcPr>
            <w:tcW w:w="487" w:type="pct"/>
            <w:tcBorders>
              <w:top w:val="nil"/>
              <w:left w:val="nil"/>
              <w:bottom w:val="nil"/>
              <w:right w:val="nil"/>
            </w:tcBorders>
            <w:shd w:val="clear" w:color="000000" w:fill="FFFFFF"/>
            <w:noWrap/>
            <w:vAlign w:val="center"/>
            <w:hideMark/>
          </w:tcPr>
          <w:p w14:paraId="1C35698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440</w:t>
            </w:r>
          </w:p>
        </w:tc>
        <w:tc>
          <w:tcPr>
            <w:tcW w:w="487" w:type="pct"/>
            <w:tcBorders>
              <w:top w:val="nil"/>
              <w:left w:val="nil"/>
              <w:bottom w:val="nil"/>
              <w:right w:val="nil"/>
            </w:tcBorders>
            <w:shd w:val="clear" w:color="000000" w:fill="FFFFFF"/>
            <w:noWrap/>
            <w:vAlign w:val="center"/>
            <w:hideMark/>
          </w:tcPr>
          <w:p w14:paraId="481F2AC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210</w:t>
            </w:r>
          </w:p>
        </w:tc>
        <w:tc>
          <w:tcPr>
            <w:tcW w:w="487" w:type="pct"/>
            <w:tcBorders>
              <w:top w:val="nil"/>
              <w:left w:val="nil"/>
              <w:bottom w:val="nil"/>
              <w:right w:val="nil"/>
            </w:tcBorders>
            <w:shd w:val="clear" w:color="000000" w:fill="FFFFFF"/>
            <w:noWrap/>
            <w:vAlign w:val="center"/>
            <w:hideMark/>
          </w:tcPr>
          <w:p w14:paraId="6EB8E4F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180</w:t>
            </w:r>
          </w:p>
        </w:tc>
      </w:tr>
      <w:tr w:rsidR="00D43131" w:rsidRPr="00966BD4" w14:paraId="543ED208"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14A628E9" w14:textId="77777777" w:rsidR="00D43131" w:rsidRPr="00966BD4" w:rsidRDefault="00D43131" w:rsidP="00D43131">
            <w:pPr>
              <w:spacing w:before="0" w:after="0" w:line="240" w:lineRule="auto"/>
              <w:ind w:left="170"/>
              <w:rPr>
                <w:rFonts w:ascii="Arial" w:hAnsi="Arial" w:cs="Arial"/>
                <w:sz w:val="16"/>
                <w:szCs w:val="16"/>
              </w:rPr>
            </w:pPr>
            <w:r w:rsidRPr="00966BD4">
              <w:rPr>
                <w:rFonts w:ascii="Arial" w:hAnsi="Arial" w:cs="Arial"/>
                <w:sz w:val="16"/>
                <w:szCs w:val="16"/>
              </w:rPr>
              <w:t xml:space="preserve">    Other imports</w:t>
            </w:r>
          </w:p>
        </w:tc>
        <w:tc>
          <w:tcPr>
            <w:tcW w:w="465" w:type="pct"/>
            <w:tcBorders>
              <w:top w:val="nil"/>
              <w:left w:val="nil"/>
              <w:bottom w:val="nil"/>
              <w:right w:val="nil"/>
            </w:tcBorders>
            <w:shd w:val="clear" w:color="000000" w:fill="FFFFFF"/>
            <w:noWrap/>
            <w:vAlign w:val="center"/>
            <w:hideMark/>
          </w:tcPr>
          <w:p w14:paraId="457C398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1,378</w:t>
            </w:r>
          </w:p>
        </w:tc>
        <w:tc>
          <w:tcPr>
            <w:tcW w:w="49" w:type="pct"/>
            <w:tcBorders>
              <w:top w:val="nil"/>
              <w:left w:val="nil"/>
              <w:bottom w:val="nil"/>
              <w:right w:val="nil"/>
            </w:tcBorders>
            <w:shd w:val="clear" w:color="000000" w:fill="FFFFFF"/>
            <w:noWrap/>
            <w:vAlign w:val="center"/>
            <w:hideMark/>
          </w:tcPr>
          <w:p w14:paraId="49B7C37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9D17FE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1,530</w:t>
            </w:r>
          </w:p>
        </w:tc>
        <w:tc>
          <w:tcPr>
            <w:tcW w:w="432" w:type="pct"/>
            <w:tcBorders>
              <w:top w:val="nil"/>
              <w:left w:val="nil"/>
              <w:bottom w:val="nil"/>
              <w:right w:val="nil"/>
            </w:tcBorders>
            <w:shd w:val="clear" w:color="000000" w:fill="E6F2FF"/>
            <w:noWrap/>
            <w:vAlign w:val="center"/>
            <w:hideMark/>
          </w:tcPr>
          <w:p w14:paraId="652456B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1,310</w:t>
            </w:r>
          </w:p>
        </w:tc>
        <w:tc>
          <w:tcPr>
            <w:tcW w:w="487" w:type="pct"/>
            <w:tcBorders>
              <w:top w:val="nil"/>
              <w:left w:val="nil"/>
              <w:bottom w:val="nil"/>
              <w:right w:val="nil"/>
            </w:tcBorders>
            <w:shd w:val="clear" w:color="000000" w:fill="FFFFFF"/>
            <w:noWrap/>
            <w:vAlign w:val="center"/>
            <w:hideMark/>
          </w:tcPr>
          <w:p w14:paraId="3E1FCB9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1,330</w:t>
            </w:r>
          </w:p>
        </w:tc>
        <w:tc>
          <w:tcPr>
            <w:tcW w:w="487" w:type="pct"/>
            <w:tcBorders>
              <w:top w:val="nil"/>
              <w:left w:val="nil"/>
              <w:bottom w:val="nil"/>
              <w:right w:val="nil"/>
            </w:tcBorders>
            <w:shd w:val="clear" w:color="000000" w:fill="FFFFFF"/>
            <w:noWrap/>
            <w:vAlign w:val="center"/>
            <w:hideMark/>
          </w:tcPr>
          <w:p w14:paraId="64D1B47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650</w:t>
            </w:r>
          </w:p>
        </w:tc>
        <w:tc>
          <w:tcPr>
            <w:tcW w:w="487" w:type="pct"/>
            <w:tcBorders>
              <w:top w:val="nil"/>
              <w:left w:val="nil"/>
              <w:bottom w:val="nil"/>
              <w:right w:val="nil"/>
            </w:tcBorders>
            <w:shd w:val="clear" w:color="000000" w:fill="FFFFFF"/>
            <w:noWrap/>
            <w:vAlign w:val="center"/>
            <w:hideMark/>
          </w:tcPr>
          <w:p w14:paraId="5C05594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690</w:t>
            </w:r>
          </w:p>
        </w:tc>
      </w:tr>
      <w:tr w:rsidR="00D43131" w:rsidRPr="00966BD4" w14:paraId="1772F9FA" w14:textId="77777777" w:rsidTr="00D43131">
        <w:trPr>
          <w:divId w:val="1981614279"/>
          <w:trHeight w:hRule="exact" w:val="226"/>
        </w:trPr>
        <w:tc>
          <w:tcPr>
            <w:tcW w:w="2161" w:type="pct"/>
            <w:tcBorders>
              <w:top w:val="nil"/>
              <w:left w:val="nil"/>
              <w:bottom w:val="nil"/>
              <w:right w:val="nil"/>
            </w:tcBorders>
            <w:shd w:val="clear" w:color="000000" w:fill="FFFFFF"/>
            <w:noWrap/>
            <w:vAlign w:val="bottom"/>
            <w:hideMark/>
          </w:tcPr>
          <w:p w14:paraId="090C6390" w14:textId="77777777" w:rsidR="00D43131" w:rsidRPr="00966BD4" w:rsidRDefault="00D43131" w:rsidP="00D43131">
            <w:pPr>
              <w:spacing w:before="0" w:after="0" w:line="240" w:lineRule="auto"/>
              <w:ind w:left="170"/>
              <w:rPr>
                <w:rFonts w:ascii="Arial" w:hAnsi="Arial" w:cs="Arial"/>
                <w:i/>
                <w:sz w:val="16"/>
                <w:szCs w:val="16"/>
              </w:rPr>
            </w:pPr>
            <w:r w:rsidRPr="00966BD4">
              <w:rPr>
                <w:rFonts w:ascii="Arial" w:hAnsi="Arial" w:cs="Arial"/>
                <w:i/>
                <w:sz w:val="16"/>
                <w:szCs w:val="16"/>
              </w:rPr>
              <w:t xml:space="preserve">less: </w:t>
            </w:r>
            <w:r w:rsidRPr="00966BD4">
              <w:rPr>
                <w:rFonts w:ascii="Arial" w:hAnsi="Arial" w:cs="Arial"/>
                <w:iCs/>
                <w:sz w:val="16"/>
                <w:szCs w:val="16"/>
              </w:rPr>
              <w:t>Refunds and drawbacks</w:t>
            </w:r>
          </w:p>
        </w:tc>
        <w:tc>
          <w:tcPr>
            <w:tcW w:w="465" w:type="pct"/>
            <w:tcBorders>
              <w:top w:val="nil"/>
              <w:left w:val="nil"/>
              <w:bottom w:val="single" w:sz="4" w:space="0" w:color="000000"/>
              <w:right w:val="nil"/>
            </w:tcBorders>
            <w:shd w:val="clear" w:color="000000" w:fill="FFFFFF"/>
            <w:noWrap/>
            <w:vAlign w:val="center"/>
            <w:hideMark/>
          </w:tcPr>
          <w:p w14:paraId="3B5438F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818</w:t>
            </w:r>
          </w:p>
        </w:tc>
        <w:tc>
          <w:tcPr>
            <w:tcW w:w="49" w:type="pct"/>
            <w:tcBorders>
              <w:top w:val="nil"/>
              <w:left w:val="nil"/>
              <w:bottom w:val="nil"/>
              <w:right w:val="nil"/>
            </w:tcBorders>
            <w:shd w:val="clear" w:color="000000" w:fill="FFFFFF"/>
            <w:noWrap/>
            <w:vAlign w:val="center"/>
            <w:hideMark/>
          </w:tcPr>
          <w:p w14:paraId="2919672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single" w:sz="4" w:space="0" w:color="000000"/>
              <w:right w:val="nil"/>
            </w:tcBorders>
            <w:shd w:val="clear" w:color="000000" w:fill="FFFFFF"/>
            <w:noWrap/>
            <w:vAlign w:val="center"/>
            <w:hideMark/>
          </w:tcPr>
          <w:p w14:paraId="4E96B80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700</w:t>
            </w:r>
          </w:p>
        </w:tc>
        <w:tc>
          <w:tcPr>
            <w:tcW w:w="432" w:type="pct"/>
            <w:tcBorders>
              <w:top w:val="nil"/>
              <w:left w:val="nil"/>
              <w:bottom w:val="single" w:sz="4" w:space="0" w:color="000000"/>
              <w:right w:val="nil"/>
            </w:tcBorders>
            <w:shd w:val="clear" w:color="000000" w:fill="E6F2FF"/>
            <w:noWrap/>
            <w:vAlign w:val="center"/>
            <w:hideMark/>
          </w:tcPr>
          <w:p w14:paraId="071DD5B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700</w:t>
            </w:r>
          </w:p>
        </w:tc>
        <w:tc>
          <w:tcPr>
            <w:tcW w:w="487" w:type="pct"/>
            <w:tcBorders>
              <w:top w:val="nil"/>
              <w:left w:val="nil"/>
              <w:bottom w:val="single" w:sz="4" w:space="0" w:color="000000"/>
              <w:right w:val="nil"/>
            </w:tcBorders>
            <w:shd w:val="clear" w:color="000000" w:fill="FFFFFF"/>
            <w:noWrap/>
            <w:vAlign w:val="center"/>
            <w:hideMark/>
          </w:tcPr>
          <w:p w14:paraId="1E9D38D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700</w:t>
            </w:r>
          </w:p>
        </w:tc>
        <w:tc>
          <w:tcPr>
            <w:tcW w:w="487" w:type="pct"/>
            <w:tcBorders>
              <w:top w:val="nil"/>
              <w:left w:val="nil"/>
              <w:bottom w:val="single" w:sz="4" w:space="0" w:color="000000"/>
              <w:right w:val="nil"/>
            </w:tcBorders>
            <w:shd w:val="clear" w:color="000000" w:fill="FFFFFF"/>
            <w:noWrap/>
            <w:vAlign w:val="center"/>
            <w:hideMark/>
          </w:tcPr>
          <w:p w14:paraId="109A0B5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700</w:t>
            </w:r>
          </w:p>
        </w:tc>
        <w:tc>
          <w:tcPr>
            <w:tcW w:w="487" w:type="pct"/>
            <w:tcBorders>
              <w:top w:val="nil"/>
              <w:left w:val="nil"/>
              <w:bottom w:val="single" w:sz="4" w:space="0" w:color="000000"/>
              <w:right w:val="nil"/>
            </w:tcBorders>
            <w:shd w:val="clear" w:color="000000" w:fill="FFFFFF"/>
            <w:noWrap/>
            <w:vAlign w:val="center"/>
            <w:hideMark/>
          </w:tcPr>
          <w:p w14:paraId="00B0BDE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700</w:t>
            </w:r>
          </w:p>
        </w:tc>
      </w:tr>
      <w:tr w:rsidR="00D43131" w:rsidRPr="00966BD4" w14:paraId="55CD4321" w14:textId="77777777" w:rsidTr="00D43131">
        <w:trPr>
          <w:divId w:val="1981614279"/>
          <w:trHeight w:hRule="exact" w:val="226"/>
        </w:trPr>
        <w:tc>
          <w:tcPr>
            <w:tcW w:w="2161" w:type="pct"/>
            <w:tcBorders>
              <w:top w:val="nil"/>
              <w:left w:val="nil"/>
              <w:bottom w:val="nil"/>
              <w:right w:val="nil"/>
            </w:tcBorders>
            <w:shd w:val="clear" w:color="000000" w:fill="FFFFFF"/>
            <w:noWrap/>
            <w:vAlign w:val="bottom"/>
            <w:hideMark/>
          </w:tcPr>
          <w:p w14:paraId="30ECAD3C"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 xml:space="preserve">Total excise and customs duty </w:t>
            </w:r>
          </w:p>
        </w:tc>
        <w:tc>
          <w:tcPr>
            <w:tcW w:w="465" w:type="pct"/>
            <w:tcBorders>
              <w:top w:val="nil"/>
              <w:left w:val="nil"/>
              <w:bottom w:val="nil"/>
              <w:right w:val="nil"/>
            </w:tcBorders>
            <w:shd w:val="clear" w:color="000000" w:fill="FFFFFF"/>
            <w:noWrap/>
            <w:vAlign w:val="center"/>
            <w:hideMark/>
          </w:tcPr>
          <w:p w14:paraId="02BEABB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39,126</w:t>
            </w:r>
          </w:p>
        </w:tc>
        <w:tc>
          <w:tcPr>
            <w:tcW w:w="49" w:type="pct"/>
            <w:tcBorders>
              <w:top w:val="nil"/>
              <w:left w:val="nil"/>
              <w:bottom w:val="nil"/>
              <w:right w:val="nil"/>
            </w:tcBorders>
            <w:shd w:val="clear" w:color="000000" w:fill="FFFFFF"/>
            <w:noWrap/>
            <w:vAlign w:val="center"/>
            <w:hideMark/>
          </w:tcPr>
          <w:p w14:paraId="67CEE75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078E7C0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43,250</w:t>
            </w:r>
          </w:p>
        </w:tc>
        <w:tc>
          <w:tcPr>
            <w:tcW w:w="432" w:type="pct"/>
            <w:tcBorders>
              <w:top w:val="nil"/>
              <w:left w:val="nil"/>
              <w:bottom w:val="nil"/>
              <w:right w:val="nil"/>
            </w:tcBorders>
            <w:shd w:val="clear" w:color="000000" w:fill="E6F2FF"/>
            <w:noWrap/>
            <w:vAlign w:val="center"/>
            <w:hideMark/>
          </w:tcPr>
          <w:p w14:paraId="0038987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47,230</w:t>
            </w:r>
          </w:p>
        </w:tc>
        <w:tc>
          <w:tcPr>
            <w:tcW w:w="487" w:type="pct"/>
            <w:tcBorders>
              <w:top w:val="nil"/>
              <w:left w:val="nil"/>
              <w:bottom w:val="nil"/>
              <w:right w:val="nil"/>
            </w:tcBorders>
            <w:shd w:val="clear" w:color="000000" w:fill="FFFFFF"/>
            <w:noWrap/>
            <w:vAlign w:val="center"/>
            <w:hideMark/>
          </w:tcPr>
          <w:p w14:paraId="163E067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49,770</w:t>
            </w:r>
          </w:p>
        </w:tc>
        <w:tc>
          <w:tcPr>
            <w:tcW w:w="487" w:type="pct"/>
            <w:tcBorders>
              <w:top w:val="nil"/>
              <w:left w:val="nil"/>
              <w:bottom w:val="nil"/>
              <w:right w:val="nil"/>
            </w:tcBorders>
            <w:shd w:val="clear" w:color="000000" w:fill="FFFFFF"/>
            <w:noWrap/>
            <w:vAlign w:val="center"/>
            <w:hideMark/>
          </w:tcPr>
          <w:p w14:paraId="648AD90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50,170</w:t>
            </w:r>
          </w:p>
        </w:tc>
        <w:tc>
          <w:tcPr>
            <w:tcW w:w="487" w:type="pct"/>
            <w:tcBorders>
              <w:top w:val="nil"/>
              <w:left w:val="nil"/>
              <w:bottom w:val="nil"/>
              <w:right w:val="nil"/>
            </w:tcBorders>
            <w:shd w:val="clear" w:color="000000" w:fill="FFFFFF"/>
            <w:noWrap/>
            <w:vAlign w:val="center"/>
            <w:hideMark/>
          </w:tcPr>
          <w:p w14:paraId="3DB4A29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52,060</w:t>
            </w:r>
          </w:p>
        </w:tc>
      </w:tr>
      <w:tr w:rsidR="00D43131" w:rsidRPr="00966BD4" w14:paraId="41FE76D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E953A81"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Major Bank Levy</w:t>
            </w:r>
          </w:p>
        </w:tc>
        <w:tc>
          <w:tcPr>
            <w:tcW w:w="465" w:type="pct"/>
            <w:tcBorders>
              <w:top w:val="nil"/>
              <w:left w:val="nil"/>
              <w:bottom w:val="nil"/>
              <w:right w:val="nil"/>
            </w:tcBorders>
            <w:shd w:val="clear" w:color="000000" w:fill="FFFFFF"/>
            <w:noWrap/>
            <w:vAlign w:val="center"/>
            <w:hideMark/>
          </w:tcPr>
          <w:p w14:paraId="7DF247D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1,454</w:t>
            </w:r>
          </w:p>
        </w:tc>
        <w:tc>
          <w:tcPr>
            <w:tcW w:w="49" w:type="pct"/>
            <w:tcBorders>
              <w:top w:val="nil"/>
              <w:left w:val="nil"/>
              <w:bottom w:val="nil"/>
              <w:right w:val="nil"/>
            </w:tcBorders>
            <w:shd w:val="clear" w:color="000000" w:fill="FFFFFF"/>
            <w:noWrap/>
            <w:vAlign w:val="center"/>
            <w:hideMark/>
          </w:tcPr>
          <w:p w14:paraId="52BA1EC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493B89E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1,540</w:t>
            </w:r>
          </w:p>
        </w:tc>
        <w:tc>
          <w:tcPr>
            <w:tcW w:w="432" w:type="pct"/>
            <w:tcBorders>
              <w:top w:val="nil"/>
              <w:left w:val="nil"/>
              <w:bottom w:val="nil"/>
              <w:right w:val="nil"/>
            </w:tcBorders>
            <w:shd w:val="clear" w:color="000000" w:fill="E6F2FF"/>
            <w:noWrap/>
            <w:vAlign w:val="center"/>
            <w:hideMark/>
          </w:tcPr>
          <w:p w14:paraId="0C25C24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1,620</w:t>
            </w:r>
          </w:p>
        </w:tc>
        <w:tc>
          <w:tcPr>
            <w:tcW w:w="487" w:type="pct"/>
            <w:tcBorders>
              <w:top w:val="nil"/>
              <w:left w:val="nil"/>
              <w:bottom w:val="nil"/>
              <w:right w:val="nil"/>
            </w:tcBorders>
            <w:shd w:val="clear" w:color="000000" w:fill="FFFFFF"/>
            <w:noWrap/>
            <w:vAlign w:val="center"/>
            <w:hideMark/>
          </w:tcPr>
          <w:p w14:paraId="1F99E39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1,650</w:t>
            </w:r>
          </w:p>
        </w:tc>
        <w:tc>
          <w:tcPr>
            <w:tcW w:w="487" w:type="pct"/>
            <w:tcBorders>
              <w:top w:val="nil"/>
              <w:left w:val="nil"/>
              <w:bottom w:val="nil"/>
              <w:right w:val="nil"/>
            </w:tcBorders>
            <w:shd w:val="clear" w:color="000000" w:fill="FFFFFF"/>
            <w:noWrap/>
            <w:vAlign w:val="center"/>
            <w:hideMark/>
          </w:tcPr>
          <w:p w14:paraId="6DBD2FF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1,710</w:t>
            </w:r>
          </w:p>
        </w:tc>
        <w:tc>
          <w:tcPr>
            <w:tcW w:w="487" w:type="pct"/>
            <w:tcBorders>
              <w:top w:val="nil"/>
              <w:left w:val="nil"/>
              <w:bottom w:val="nil"/>
              <w:right w:val="nil"/>
            </w:tcBorders>
            <w:shd w:val="clear" w:color="000000" w:fill="FFFFFF"/>
            <w:noWrap/>
            <w:vAlign w:val="center"/>
            <w:hideMark/>
          </w:tcPr>
          <w:p w14:paraId="0DE5BFD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1,800</w:t>
            </w:r>
          </w:p>
        </w:tc>
      </w:tr>
      <w:tr w:rsidR="00D43131" w:rsidRPr="00966BD4" w14:paraId="228C4AE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A223C72"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Agricultural levies</w:t>
            </w:r>
          </w:p>
        </w:tc>
        <w:tc>
          <w:tcPr>
            <w:tcW w:w="465" w:type="pct"/>
            <w:tcBorders>
              <w:top w:val="nil"/>
              <w:left w:val="nil"/>
              <w:bottom w:val="nil"/>
              <w:right w:val="nil"/>
            </w:tcBorders>
            <w:shd w:val="clear" w:color="000000" w:fill="FFFFFF"/>
            <w:noWrap/>
            <w:vAlign w:val="center"/>
            <w:hideMark/>
          </w:tcPr>
          <w:p w14:paraId="6E75C48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626</w:t>
            </w:r>
          </w:p>
        </w:tc>
        <w:tc>
          <w:tcPr>
            <w:tcW w:w="49" w:type="pct"/>
            <w:tcBorders>
              <w:top w:val="nil"/>
              <w:left w:val="nil"/>
              <w:bottom w:val="nil"/>
              <w:right w:val="nil"/>
            </w:tcBorders>
            <w:shd w:val="clear" w:color="000000" w:fill="FFFFFF"/>
            <w:noWrap/>
            <w:vAlign w:val="center"/>
            <w:hideMark/>
          </w:tcPr>
          <w:p w14:paraId="3701EE4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601DDA8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631</w:t>
            </w:r>
          </w:p>
        </w:tc>
        <w:tc>
          <w:tcPr>
            <w:tcW w:w="432" w:type="pct"/>
            <w:tcBorders>
              <w:top w:val="nil"/>
              <w:left w:val="nil"/>
              <w:bottom w:val="nil"/>
              <w:right w:val="nil"/>
            </w:tcBorders>
            <w:shd w:val="clear" w:color="000000" w:fill="E6F2FF"/>
            <w:noWrap/>
            <w:vAlign w:val="center"/>
            <w:hideMark/>
          </w:tcPr>
          <w:p w14:paraId="745444C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586</w:t>
            </w:r>
          </w:p>
        </w:tc>
        <w:tc>
          <w:tcPr>
            <w:tcW w:w="487" w:type="pct"/>
            <w:tcBorders>
              <w:top w:val="nil"/>
              <w:left w:val="nil"/>
              <w:bottom w:val="nil"/>
              <w:right w:val="nil"/>
            </w:tcBorders>
            <w:shd w:val="clear" w:color="000000" w:fill="FFFFFF"/>
            <w:noWrap/>
            <w:vAlign w:val="center"/>
            <w:hideMark/>
          </w:tcPr>
          <w:p w14:paraId="5FDE7B4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593</w:t>
            </w:r>
          </w:p>
        </w:tc>
        <w:tc>
          <w:tcPr>
            <w:tcW w:w="487" w:type="pct"/>
            <w:tcBorders>
              <w:top w:val="nil"/>
              <w:left w:val="nil"/>
              <w:bottom w:val="nil"/>
              <w:right w:val="nil"/>
            </w:tcBorders>
            <w:shd w:val="clear" w:color="000000" w:fill="FFFFFF"/>
            <w:noWrap/>
            <w:vAlign w:val="center"/>
            <w:hideMark/>
          </w:tcPr>
          <w:p w14:paraId="752D150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613</w:t>
            </w:r>
          </w:p>
        </w:tc>
        <w:tc>
          <w:tcPr>
            <w:tcW w:w="487" w:type="pct"/>
            <w:tcBorders>
              <w:top w:val="nil"/>
              <w:left w:val="nil"/>
              <w:bottom w:val="nil"/>
              <w:right w:val="nil"/>
            </w:tcBorders>
            <w:shd w:val="clear" w:color="000000" w:fill="FFFFFF"/>
            <w:noWrap/>
            <w:vAlign w:val="center"/>
            <w:hideMark/>
          </w:tcPr>
          <w:p w14:paraId="5D8DC35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614</w:t>
            </w:r>
          </w:p>
        </w:tc>
      </w:tr>
      <w:tr w:rsidR="00D43131" w:rsidRPr="00966BD4" w14:paraId="104905FF"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7B227FBE"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Visa application charges(b)</w:t>
            </w:r>
          </w:p>
        </w:tc>
        <w:tc>
          <w:tcPr>
            <w:tcW w:w="465" w:type="pct"/>
            <w:tcBorders>
              <w:top w:val="nil"/>
              <w:left w:val="nil"/>
              <w:bottom w:val="nil"/>
              <w:right w:val="nil"/>
            </w:tcBorders>
            <w:shd w:val="clear" w:color="000000" w:fill="FFFFFF"/>
            <w:noWrap/>
            <w:vAlign w:val="center"/>
            <w:hideMark/>
          </w:tcPr>
          <w:p w14:paraId="758B979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1,982</w:t>
            </w:r>
          </w:p>
        </w:tc>
        <w:tc>
          <w:tcPr>
            <w:tcW w:w="49" w:type="pct"/>
            <w:tcBorders>
              <w:top w:val="nil"/>
              <w:left w:val="nil"/>
              <w:bottom w:val="nil"/>
              <w:right w:val="nil"/>
            </w:tcBorders>
            <w:shd w:val="clear" w:color="000000" w:fill="FFFFFF"/>
            <w:noWrap/>
            <w:vAlign w:val="center"/>
            <w:hideMark/>
          </w:tcPr>
          <w:p w14:paraId="0742F6D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F04432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2,995</w:t>
            </w:r>
          </w:p>
        </w:tc>
        <w:tc>
          <w:tcPr>
            <w:tcW w:w="432" w:type="pct"/>
            <w:tcBorders>
              <w:top w:val="nil"/>
              <w:left w:val="nil"/>
              <w:bottom w:val="nil"/>
              <w:right w:val="nil"/>
            </w:tcBorders>
            <w:shd w:val="clear" w:color="000000" w:fill="E6F2FF"/>
            <w:noWrap/>
            <w:vAlign w:val="center"/>
            <w:hideMark/>
          </w:tcPr>
          <w:p w14:paraId="519075EC"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3,125</w:t>
            </w:r>
          </w:p>
        </w:tc>
        <w:tc>
          <w:tcPr>
            <w:tcW w:w="487" w:type="pct"/>
            <w:tcBorders>
              <w:top w:val="nil"/>
              <w:left w:val="nil"/>
              <w:bottom w:val="nil"/>
              <w:right w:val="nil"/>
            </w:tcBorders>
            <w:shd w:val="clear" w:color="000000" w:fill="FFFFFF"/>
            <w:noWrap/>
            <w:vAlign w:val="center"/>
            <w:hideMark/>
          </w:tcPr>
          <w:p w14:paraId="2E08C14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3,319</w:t>
            </w:r>
          </w:p>
        </w:tc>
        <w:tc>
          <w:tcPr>
            <w:tcW w:w="487" w:type="pct"/>
            <w:tcBorders>
              <w:top w:val="nil"/>
              <w:left w:val="nil"/>
              <w:bottom w:val="nil"/>
              <w:right w:val="nil"/>
            </w:tcBorders>
            <w:shd w:val="clear" w:color="000000" w:fill="FFFFFF"/>
            <w:noWrap/>
            <w:vAlign w:val="center"/>
            <w:hideMark/>
          </w:tcPr>
          <w:p w14:paraId="20EB221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3,460</w:t>
            </w:r>
          </w:p>
        </w:tc>
        <w:tc>
          <w:tcPr>
            <w:tcW w:w="487" w:type="pct"/>
            <w:tcBorders>
              <w:top w:val="nil"/>
              <w:left w:val="nil"/>
              <w:bottom w:val="nil"/>
              <w:right w:val="nil"/>
            </w:tcBorders>
            <w:shd w:val="clear" w:color="000000" w:fill="FFFFFF"/>
            <w:noWrap/>
            <w:vAlign w:val="center"/>
            <w:hideMark/>
          </w:tcPr>
          <w:p w14:paraId="7786FA9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3,574</w:t>
            </w:r>
          </w:p>
        </w:tc>
      </w:tr>
      <w:tr w:rsidR="00D43131" w:rsidRPr="00966BD4" w14:paraId="30CBFE4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C77BA83"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Other taxes(b)</w:t>
            </w:r>
          </w:p>
        </w:tc>
        <w:tc>
          <w:tcPr>
            <w:tcW w:w="465" w:type="pct"/>
            <w:tcBorders>
              <w:top w:val="nil"/>
              <w:left w:val="nil"/>
              <w:bottom w:val="nil"/>
              <w:right w:val="nil"/>
            </w:tcBorders>
            <w:shd w:val="clear" w:color="000000" w:fill="FFFFFF"/>
            <w:noWrap/>
            <w:vAlign w:val="center"/>
            <w:hideMark/>
          </w:tcPr>
          <w:p w14:paraId="783B1A3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3,964</w:t>
            </w:r>
          </w:p>
        </w:tc>
        <w:tc>
          <w:tcPr>
            <w:tcW w:w="49" w:type="pct"/>
            <w:tcBorders>
              <w:top w:val="nil"/>
              <w:left w:val="nil"/>
              <w:bottom w:val="nil"/>
              <w:right w:val="nil"/>
            </w:tcBorders>
            <w:shd w:val="clear" w:color="000000" w:fill="FFFFFF"/>
            <w:noWrap/>
            <w:vAlign w:val="center"/>
            <w:hideMark/>
          </w:tcPr>
          <w:p w14:paraId="0E6A908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2937099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4,593</w:t>
            </w:r>
          </w:p>
        </w:tc>
        <w:tc>
          <w:tcPr>
            <w:tcW w:w="432" w:type="pct"/>
            <w:tcBorders>
              <w:top w:val="nil"/>
              <w:left w:val="nil"/>
              <w:bottom w:val="nil"/>
              <w:right w:val="nil"/>
            </w:tcBorders>
            <w:shd w:val="clear" w:color="000000" w:fill="E6F2FF"/>
            <w:noWrap/>
            <w:vAlign w:val="center"/>
            <w:hideMark/>
          </w:tcPr>
          <w:p w14:paraId="3F78E14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4,745</w:t>
            </w:r>
          </w:p>
        </w:tc>
        <w:tc>
          <w:tcPr>
            <w:tcW w:w="487" w:type="pct"/>
            <w:tcBorders>
              <w:top w:val="nil"/>
              <w:left w:val="nil"/>
              <w:bottom w:val="nil"/>
              <w:right w:val="nil"/>
            </w:tcBorders>
            <w:shd w:val="clear" w:color="000000" w:fill="FFFFFF"/>
            <w:noWrap/>
            <w:vAlign w:val="center"/>
            <w:hideMark/>
          </w:tcPr>
          <w:p w14:paraId="1B67CD7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5,130</w:t>
            </w:r>
          </w:p>
        </w:tc>
        <w:tc>
          <w:tcPr>
            <w:tcW w:w="487" w:type="pct"/>
            <w:tcBorders>
              <w:top w:val="nil"/>
              <w:left w:val="nil"/>
              <w:bottom w:val="nil"/>
              <w:right w:val="nil"/>
            </w:tcBorders>
            <w:shd w:val="clear" w:color="000000" w:fill="FFFFFF"/>
            <w:noWrap/>
            <w:vAlign w:val="center"/>
            <w:hideMark/>
          </w:tcPr>
          <w:p w14:paraId="78432D0B"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4,964</w:t>
            </w:r>
          </w:p>
        </w:tc>
        <w:tc>
          <w:tcPr>
            <w:tcW w:w="487" w:type="pct"/>
            <w:tcBorders>
              <w:top w:val="nil"/>
              <w:left w:val="nil"/>
              <w:bottom w:val="nil"/>
              <w:right w:val="nil"/>
            </w:tcBorders>
            <w:shd w:val="clear" w:color="000000" w:fill="FFFFFF"/>
            <w:noWrap/>
            <w:vAlign w:val="center"/>
            <w:hideMark/>
          </w:tcPr>
          <w:p w14:paraId="4423E9C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4,820</w:t>
            </w:r>
          </w:p>
        </w:tc>
      </w:tr>
      <w:tr w:rsidR="00D43131" w:rsidRPr="00966BD4" w14:paraId="4E707C37"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1CE6260F"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Indirect taxation receipts</w:t>
            </w:r>
          </w:p>
        </w:tc>
        <w:tc>
          <w:tcPr>
            <w:tcW w:w="465" w:type="pct"/>
            <w:tcBorders>
              <w:top w:val="single" w:sz="4" w:space="0" w:color="293F5B"/>
              <w:left w:val="nil"/>
              <w:bottom w:val="single" w:sz="4" w:space="0" w:color="293F5B"/>
              <w:right w:val="nil"/>
            </w:tcBorders>
            <w:shd w:val="clear" w:color="000000" w:fill="FFFFFF"/>
            <w:noWrap/>
            <w:vAlign w:val="center"/>
            <w:hideMark/>
          </w:tcPr>
          <w:p w14:paraId="444EDF7F"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122,710</w:t>
            </w:r>
          </w:p>
        </w:tc>
        <w:tc>
          <w:tcPr>
            <w:tcW w:w="49" w:type="pct"/>
            <w:tcBorders>
              <w:top w:val="nil"/>
              <w:left w:val="nil"/>
              <w:bottom w:val="nil"/>
              <w:right w:val="nil"/>
            </w:tcBorders>
            <w:shd w:val="clear" w:color="000000" w:fill="FFFFFF"/>
            <w:noWrap/>
            <w:vAlign w:val="center"/>
            <w:hideMark/>
          </w:tcPr>
          <w:p w14:paraId="20E0E102"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single" w:sz="4" w:space="0" w:color="293F5B"/>
              <w:left w:val="nil"/>
              <w:bottom w:val="single" w:sz="4" w:space="0" w:color="293F5B"/>
              <w:right w:val="nil"/>
            </w:tcBorders>
            <w:shd w:val="clear" w:color="000000" w:fill="FFFFFF"/>
            <w:noWrap/>
            <w:vAlign w:val="center"/>
            <w:hideMark/>
          </w:tcPr>
          <w:p w14:paraId="6E24C358"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137,060</w:t>
            </w:r>
          </w:p>
        </w:tc>
        <w:tc>
          <w:tcPr>
            <w:tcW w:w="432" w:type="pct"/>
            <w:tcBorders>
              <w:top w:val="single" w:sz="4" w:space="0" w:color="293F5B"/>
              <w:left w:val="nil"/>
              <w:bottom w:val="single" w:sz="4" w:space="0" w:color="293F5B"/>
              <w:right w:val="nil"/>
            </w:tcBorders>
            <w:shd w:val="clear" w:color="000000" w:fill="E6F2FF"/>
            <w:noWrap/>
            <w:vAlign w:val="center"/>
            <w:hideMark/>
          </w:tcPr>
          <w:p w14:paraId="1366FAF6"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145,325</w:t>
            </w:r>
          </w:p>
        </w:tc>
        <w:tc>
          <w:tcPr>
            <w:tcW w:w="487" w:type="pct"/>
            <w:tcBorders>
              <w:top w:val="single" w:sz="4" w:space="0" w:color="293F5B"/>
              <w:left w:val="nil"/>
              <w:bottom w:val="single" w:sz="4" w:space="0" w:color="293F5B"/>
              <w:right w:val="nil"/>
            </w:tcBorders>
            <w:shd w:val="clear" w:color="000000" w:fill="FFFFFF"/>
            <w:noWrap/>
            <w:vAlign w:val="center"/>
            <w:hideMark/>
          </w:tcPr>
          <w:p w14:paraId="70B669BC"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151,822</w:t>
            </w:r>
          </w:p>
        </w:tc>
        <w:tc>
          <w:tcPr>
            <w:tcW w:w="487" w:type="pct"/>
            <w:tcBorders>
              <w:top w:val="single" w:sz="4" w:space="0" w:color="293F5B"/>
              <w:left w:val="nil"/>
              <w:bottom w:val="single" w:sz="4" w:space="0" w:color="293F5B"/>
              <w:right w:val="nil"/>
            </w:tcBorders>
            <w:shd w:val="clear" w:color="000000" w:fill="FFFFFF"/>
            <w:noWrap/>
            <w:vAlign w:val="center"/>
            <w:hideMark/>
          </w:tcPr>
          <w:p w14:paraId="21033E3F"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157,576</w:t>
            </w:r>
          </w:p>
        </w:tc>
        <w:tc>
          <w:tcPr>
            <w:tcW w:w="487" w:type="pct"/>
            <w:tcBorders>
              <w:top w:val="single" w:sz="4" w:space="0" w:color="293F5B"/>
              <w:left w:val="nil"/>
              <w:bottom w:val="single" w:sz="4" w:space="0" w:color="293F5B"/>
              <w:right w:val="nil"/>
            </w:tcBorders>
            <w:shd w:val="clear" w:color="000000" w:fill="FFFFFF"/>
            <w:noWrap/>
            <w:vAlign w:val="center"/>
            <w:hideMark/>
          </w:tcPr>
          <w:p w14:paraId="1477AE90"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165,353</w:t>
            </w:r>
          </w:p>
        </w:tc>
      </w:tr>
      <w:tr w:rsidR="00D43131" w:rsidRPr="00966BD4" w14:paraId="7F778449"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4C5A22C5"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Taxation receipts</w:t>
            </w:r>
          </w:p>
        </w:tc>
        <w:tc>
          <w:tcPr>
            <w:tcW w:w="465" w:type="pct"/>
            <w:tcBorders>
              <w:top w:val="nil"/>
              <w:left w:val="nil"/>
              <w:bottom w:val="single" w:sz="4" w:space="0" w:color="000000"/>
              <w:right w:val="nil"/>
            </w:tcBorders>
            <w:shd w:val="clear" w:color="000000" w:fill="FFFFFF"/>
            <w:noWrap/>
            <w:vAlign w:val="center"/>
            <w:hideMark/>
          </w:tcPr>
          <w:p w14:paraId="38F4C2C6"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536,586</w:t>
            </w:r>
          </w:p>
        </w:tc>
        <w:tc>
          <w:tcPr>
            <w:tcW w:w="49" w:type="pct"/>
            <w:tcBorders>
              <w:top w:val="nil"/>
              <w:left w:val="nil"/>
              <w:bottom w:val="nil"/>
              <w:right w:val="nil"/>
            </w:tcBorders>
            <w:shd w:val="clear" w:color="000000" w:fill="FFFFFF"/>
            <w:noWrap/>
            <w:vAlign w:val="center"/>
            <w:hideMark/>
          </w:tcPr>
          <w:p w14:paraId="20E0EC4A"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nil"/>
              <w:left w:val="nil"/>
              <w:bottom w:val="single" w:sz="4" w:space="0" w:color="000000"/>
              <w:right w:val="nil"/>
            </w:tcBorders>
            <w:shd w:val="clear" w:color="000000" w:fill="FFFFFF"/>
            <w:noWrap/>
            <w:vAlign w:val="center"/>
            <w:hideMark/>
          </w:tcPr>
          <w:p w14:paraId="6FD59BDC"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588,050</w:t>
            </w:r>
          </w:p>
        </w:tc>
        <w:tc>
          <w:tcPr>
            <w:tcW w:w="432" w:type="pct"/>
            <w:tcBorders>
              <w:top w:val="nil"/>
              <w:left w:val="nil"/>
              <w:bottom w:val="single" w:sz="4" w:space="0" w:color="000000"/>
              <w:right w:val="nil"/>
            </w:tcBorders>
            <w:shd w:val="clear" w:color="000000" w:fill="E6F2FF"/>
            <w:noWrap/>
            <w:vAlign w:val="center"/>
            <w:hideMark/>
          </w:tcPr>
          <w:p w14:paraId="70C943F9"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616,275</w:t>
            </w:r>
          </w:p>
        </w:tc>
        <w:tc>
          <w:tcPr>
            <w:tcW w:w="487" w:type="pct"/>
            <w:tcBorders>
              <w:top w:val="nil"/>
              <w:left w:val="nil"/>
              <w:bottom w:val="single" w:sz="4" w:space="0" w:color="000000"/>
              <w:right w:val="nil"/>
            </w:tcBorders>
            <w:shd w:val="clear" w:color="000000" w:fill="FFFFFF"/>
            <w:noWrap/>
            <w:vAlign w:val="center"/>
            <w:hideMark/>
          </w:tcPr>
          <w:p w14:paraId="7441ADCD"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614,332</w:t>
            </w:r>
          </w:p>
        </w:tc>
        <w:tc>
          <w:tcPr>
            <w:tcW w:w="487" w:type="pct"/>
            <w:tcBorders>
              <w:top w:val="nil"/>
              <w:left w:val="nil"/>
              <w:bottom w:val="single" w:sz="4" w:space="0" w:color="000000"/>
              <w:right w:val="nil"/>
            </w:tcBorders>
            <w:shd w:val="clear" w:color="000000" w:fill="FFFFFF"/>
            <w:noWrap/>
            <w:vAlign w:val="center"/>
            <w:hideMark/>
          </w:tcPr>
          <w:p w14:paraId="16B5858A"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647,846</w:t>
            </w:r>
          </w:p>
        </w:tc>
        <w:tc>
          <w:tcPr>
            <w:tcW w:w="487" w:type="pct"/>
            <w:tcBorders>
              <w:top w:val="nil"/>
              <w:left w:val="nil"/>
              <w:bottom w:val="single" w:sz="4" w:space="0" w:color="000000"/>
              <w:right w:val="nil"/>
            </w:tcBorders>
            <w:shd w:val="clear" w:color="000000" w:fill="FFFFFF"/>
            <w:noWrap/>
            <w:vAlign w:val="center"/>
            <w:hideMark/>
          </w:tcPr>
          <w:p w14:paraId="4CD0C08B"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680,743</w:t>
            </w:r>
          </w:p>
        </w:tc>
      </w:tr>
      <w:tr w:rsidR="00D43131" w:rsidRPr="00966BD4" w14:paraId="4EC4F8E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271AE506"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Sales of goods and services</w:t>
            </w:r>
          </w:p>
        </w:tc>
        <w:tc>
          <w:tcPr>
            <w:tcW w:w="465" w:type="pct"/>
            <w:tcBorders>
              <w:top w:val="nil"/>
              <w:left w:val="nil"/>
              <w:bottom w:val="nil"/>
              <w:right w:val="nil"/>
            </w:tcBorders>
            <w:shd w:val="clear" w:color="000000" w:fill="FFFFFF"/>
            <w:noWrap/>
            <w:vAlign w:val="center"/>
            <w:hideMark/>
          </w:tcPr>
          <w:p w14:paraId="4DD0DE7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17,725</w:t>
            </w:r>
          </w:p>
        </w:tc>
        <w:tc>
          <w:tcPr>
            <w:tcW w:w="49" w:type="pct"/>
            <w:tcBorders>
              <w:top w:val="nil"/>
              <w:left w:val="nil"/>
              <w:bottom w:val="nil"/>
              <w:right w:val="nil"/>
            </w:tcBorders>
            <w:shd w:val="clear" w:color="000000" w:fill="FFFFFF"/>
            <w:noWrap/>
            <w:vAlign w:val="center"/>
            <w:hideMark/>
          </w:tcPr>
          <w:p w14:paraId="60F23E8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4856E5E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19,200</w:t>
            </w:r>
          </w:p>
        </w:tc>
        <w:tc>
          <w:tcPr>
            <w:tcW w:w="432" w:type="pct"/>
            <w:tcBorders>
              <w:top w:val="nil"/>
              <w:left w:val="nil"/>
              <w:bottom w:val="nil"/>
              <w:right w:val="nil"/>
            </w:tcBorders>
            <w:shd w:val="clear" w:color="000000" w:fill="E6F2FF"/>
            <w:noWrap/>
            <w:vAlign w:val="center"/>
            <w:hideMark/>
          </w:tcPr>
          <w:p w14:paraId="48BF266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20,792</w:t>
            </w:r>
          </w:p>
        </w:tc>
        <w:tc>
          <w:tcPr>
            <w:tcW w:w="487" w:type="pct"/>
            <w:tcBorders>
              <w:top w:val="nil"/>
              <w:left w:val="nil"/>
              <w:bottom w:val="nil"/>
              <w:right w:val="nil"/>
            </w:tcBorders>
            <w:shd w:val="clear" w:color="000000" w:fill="FFFFFF"/>
            <w:noWrap/>
            <w:vAlign w:val="center"/>
            <w:hideMark/>
          </w:tcPr>
          <w:p w14:paraId="6831734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21,845</w:t>
            </w:r>
          </w:p>
        </w:tc>
        <w:tc>
          <w:tcPr>
            <w:tcW w:w="487" w:type="pct"/>
            <w:tcBorders>
              <w:top w:val="nil"/>
              <w:left w:val="nil"/>
              <w:bottom w:val="nil"/>
              <w:right w:val="nil"/>
            </w:tcBorders>
            <w:shd w:val="clear" w:color="000000" w:fill="FFFFFF"/>
            <w:noWrap/>
            <w:vAlign w:val="center"/>
            <w:hideMark/>
          </w:tcPr>
          <w:p w14:paraId="4C1FF1D6"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22,342</w:t>
            </w:r>
          </w:p>
        </w:tc>
        <w:tc>
          <w:tcPr>
            <w:tcW w:w="487" w:type="pct"/>
            <w:tcBorders>
              <w:top w:val="nil"/>
              <w:left w:val="nil"/>
              <w:bottom w:val="nil"/>
              <w:right w:val="nil"/>
            </w:tcBorders>
            <w:shd w:val="clear" w:color="000000" w:fill="FFFFFF"/>
            <w:noWrap/>
            <w:vAlign w:val="center"/>
            <w:hideMark/>
          </w:tcPr>
          <w:p w14:paraId="008D7B6F"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23,348</w:t>
            </w:r>
          </w:p>
        </w:tc>
      </w:tr>
      <w:tr w:rsidR="00D43131" w:rsidRPr="00966BD4" w14:paraId="24A97E9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758CF2B5"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Interest received</w:t>
            </w:r>
          </w:p>
        </w:tc>
        <w:tc>
          <w:tcPr>
            <w:tcW w:w="465" w:type="pct"/>
            <w:tcBorders>
              <w:top w:val="nil"/>
              <w:left w:val="nil"/>
              <w:bottom w:val="nil"/>
              <w:right w:val="nil"/>
            </w:tcBorders>
            <w:shd w:val="clear" w:color="000000" w:fill="FFFFFF"/>
            <w:noWrap/>
            <w:vAlign w:val="center"/>
            <w:hideMark/>
          </w:tcPr>
          <w:p w14:paraId="3B47F1AE"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2,446</w:t>
            </w:r>
          </w:p>
        </w:tc>
        <w:tc>
          <w:tcPr>
            <w:tcW w:w="49" w:type="pct"/>
            <w:tcBorders>
              <w:top w:val="nil"/>
              <w:left w:val="nil"/>
              <w:bottom w:val="nil"/>
              <w:right w:val="nil"/>
            </w:tcBorders>
            <w:shd w:val="clear" w:color="000000" w:fill="FFFFFF"/>
            <w:noWrap/>
            <w:vAlign w:val="center"/>
            <w:hideMark/>
          </w:tcPr>
          <w:p w14:paraId="520F77A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366E1A89"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6,115</w:t>
            </w:r>
          </w:p>
        </w:tc>
        <w:tc>
          <w:tcPr>
            <w:tcW w:w="432" w:type="pct"/>
            <w:tcBorders>
              <w:top w:val="nil"/>
              <w:left w:val="nil"/>
              <w:bottom w:val="nil"/>
              <w:right w:val="nil"/>
            </w:tcBorders>
            <w:shd w:val="clear" w:color="000000" w:fill="E6F2FF"/>
            <w:noWrap/>
            <w:vAlign w:val="center"/>
            <w:hideMark/>
          </w:tcPr>
          <w:p w14:paraId="38FCBD9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7,654</w:t>
            </w:r>
          </w:p>
        </w:tc>
        <w:tc>
          <w:tcPr>
            <w:tcW w:w="487" w:type="pct"/>
            <w:tcBorders>
              <w:top w:val="nil"/>
              <w:left w:val="nil"/>
              <w:bottom w:val="nil"/>
              <w:right w:val="nil"/>
            </w:tcBorders>
            <w:shd w:val="clear" w:color="000000" w:fill="FFFFFF"/>
            <w:noWrap/>
            <w:vAlign w:val="center"/>
            <w:hideMark/>
          </w:tcPr>
          <w:p w14:paraId="5301BF5D"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7,168</w:t>
            </w:r>
          </w:p>
        </w:tc>
        <w:tc>
          <w:tcPr>
            <w:tcW w:w="487" w:type="pct"/>
            <w:tcBorders>
              <w:top w:val="nil"/>
              <w:left w:val="nil"/>
              <w:bottom w:val="nil"/>
              <w:right w:val="nil"/>
            </w:tcBorders>
            <w:shd w:val="clear" w:color="000000" w:fill="FFFFFF"/>
            <w:noWrap/>
            <w:vAlign w:val="center"/>
            <w:hideMark/>
          </w:tcPr>
          <w:p w14:paraId="0517428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6,930</w:t>
            </w:r>
          </w:p>
        </w:tc>
        <w:tc>
          <w:tcPr>
            <w:tcW w:w="487" w:type="pct"/>
            <w:tcBorders>
              <w:top w:val="nil"/>
              <w:left w:val="nil"/>
              <w:bottom w:val="nil"/>
              <w:right w:val="nil"/>
            </w:tcBorders>
            <w:shd w:val="clear" w:color="000000" w:fill="FFFFFF"/>
            <w:noWrap/>
            <w:vAlign w:val="center"/>
            <w:hideMark/>
          </w:tcPr>
          <w:p w14:paraId="685F220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7,160</w:t>
            </w:r>
          </w:p>
        </w:tc>
      </w:tr>
      <w:tr w:rsidR="00D43131" w:rsidRPr="00966BD4" w14:paraId="239A5103"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156995F0" w14:textId="77777777"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Dividends and distributions</w:t>
            </w:r>
          </w:p>
        </w:tc>
        <w:tc>
          <w:tcPr>
            <w:tcW w:w="465" w:type="pct"/>
            <w:tcBorders>
              <w:top w:val="nil"/>
              <w:left w:val="nil"/>
              <w:bottom w:val="nil"/>
              <w:right w:val="nil"/>
            </w:tcBorders>
            <w:shd w:val="clear" w:color="000000" w:fill="FFFFFF"/>
            <w:noWrap/>
            <w:vAlign w:val="center"/>
            <w:hideMark/>
          </w:tcPr>
          <w:p w14:paraId="0EA9C51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11,564</w:t>
            </w:r>
          </w:p>
        </w:tc>
        <w:tc>
          <w:tcPr>
            <w:tcW w:w="49" w:type="pct"/>
            <w:tcBorders>
              <w:top w:val="nil"/>
              <w:left w:val="nil"/>
              <w:bottom w:val="nil"/>
              <w:right w:val="nil"/>
            </w:tcBorders>
            <w:shd w:val="clear" w:color="000000" w:fill="FFFFFF"/>
            <w:noWrap/>
            <w:vAlign w:val="center"/>
            <w:hideMark/>
          </w:tcPr>
          <w:p w14:paraId="21FA15D0"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122390FA"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5,407</w:t>
            </w:r>
          </w:p>
        </w:tc>
        <w:tc>
          <w:tcPr>
            <w:tcW w:w="432" w:type="pct"/>
            <w:tcBorders>
              <w:top w:val="nil"/>
              <w:left w:val="nil"/>
              <w:bottom w:val="nil"/>
              <w:right w:val="nil"/>
            </w:tcBorders>
            <w:shd w:val="clear" w:color="000000" w:fill="E6F2FF"/>
            <w:noWrap/>
            <w:vAlign w:val="center"/>
            <w:hideMark/>
          </w:tcPr>
          <w:p w14:paraId="797D7413"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6,889</w:t>
            </w:r>
          </w:p>
        </w:tc>
        <w:tc>
          <w:tcPr>
            <w:tcW w:w="487" w:type="pct"/>
            <w:tcBorders>
              <w:top w:val="nil"/>
              <w:left w:val="nil"/>
              <w:bottom w:val="nil"/>
              <w:right w:val="nil"/>
            </w:tcBorders>
            <w:shd w:val="clear" w:color="000000" w:fill="FFFFFF"/>
            <w:noWrap/>
            <w:vAlign w:val="center"/>
            <w:hideMark/>
          </w:tcPr>
          <w:p w14:paraId="5CDAF204"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7,288</w:t>
            </w:r>
          </w:p>
        </w:tc>
        <w:tc>
          <w:tcPr>
            <w:tcW w:w="487" w:type="pct"/>
            <w:tcBorders>
              <w:top w:val="nil"/>
              <w:left w:val="nil"/>
              <w:bottom w:val="nil"/>
              <w:right w:val="nil"/>
            </w:tcBorders>
            <w:shd w:val="clear" w:color="000000" w:fill="FFFFFF"/>
            <w:noWrap/>
            <w:vAlign w:val="center"/>
            <w:hideMark/>
          </w:tcPr>
          <w:p w14:paraId="568359B2"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7,667</w:t>
            </w:r>
          </w:p>
        </w:tc>
        <w:tc>
          <w:tcPr>
            <w:tcW w:w="487" w:type="pct"/>
            <w:tcBorders>
              <w:top w:val="nil"/>
              <w:left w:val="nil"/>
              <w:bottom w:val="nil"/>
              <w:right w:val="nil"/>
            </w:tcBorders>
            <w:shd w:val="clear" w:color="000000" w:fill="FFFFFF"/>
            <w:noWrap/>
            <w:vAlign w:val="center"/>
            <w:hideMark/>
          </w:tcPr>
          <w:p w14:paraId="0814DE2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8,083</w:t>
            </w:r>
          </w:p>
        </w:tc>
      </w:tr>
      <w:tr w:rsidR="00D43131" w:rsidRPr="00966BD4" w14:paraId="12802BD5"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72229C54" w14:textId="2A6C8546" w:rsidR="00D43131" w:rsidRPr="00966BD4" w:rsidRDefault="00D43131" w:rsidP="00D43131">
            <w:pPr>
              <w:spacing w:before="0" w:after="0" w:line="240" w:lineRule="auto"/>
              <w:rPr>
                <w:rFonts w:ascii="Arial" w:hAnsi="Arial" w:cs="Arial"/>
                <w:sz w:val="16"/>
                <w:szCs w:val="16"/>
              </w:rPr>
            </w:pPr>
            <w:r w:rsidRPr="00966BD4">
              <w:rPr>
                <w:rFonts w:ascii="Arial" w:hAnsi="Arial" w:cs="Arial"/>
                <w:sz w:val="16"/>
                <w:szCs w:val="16"/>
              </w:rPr>
              <w:t>Other non</w:t>
            </w:r>
            <w:r w:rsidR="001B77CF">
              <w:rPr>
                <w:rFonts w:ascii="Arial" w:hAnsi="Arial" w:cs="Arial"/>
                <w:sz w:val="16"/>
                <w:szCs w:val="16"/>
              </w:rPr>
              <w:noBreakHyphen/>
            </w:r>
            <w:r w:rsidRPr="00966BD4">
              <w:rPr>
                <w:rFonts w:ascii="Arial" w:hAnsi="Arial" w:cs="Arial"/>
                <w:sz w:val="16"/>
                <w:szCs w:val="16"/>
              </w:rPr>
              <w:t>taxation receipts</w:t>
            </w:r>
          </w:p>
        </w:tc>
        <w:tc>
          <w:tcPr>
            <w:tcW w:w="465" w:type="pct"/>
            <w:tcBorders>
              <w:top w:val="nil"/>
              <w:left w:val="nil"/>
              <w:bottom w:val="nil"/>
              <w:right w:val="nil"/>
            </w:tcBorders>
            <w:shd w:val="clear" w:color="000000" w:fill="FFFFFF"/>
            <w:noWrap/>
            <w:vAlign w:val="center"/>
            <w:hideMark/>
          </w:tcPr>
          <w:p w14:paraId="34D4443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16,036</w:t>
            </w:r>
          </w:p>
        </w:tc>
        <w:tc>
          <w:tcPr>
            <w:tcW w:w="49" w:type="pct"/>
            <w:tcBorders>
              <w:top w:val="nil"/>
              <w:left w:val="nil"/>
              <w:bottom w:val="nil"/>
              <w:right w:val="nil"/>
            </w:tcBorders>
            <w:shd w:val="clear" w:color="000000" w:fill="FFFFFF"/>
            <w:noWrap/>
            <w:vAlign w:val="center"/>
            <w:hideMark/>
          </w:tcPr>
          <w:p w14:paraId="4E49DC0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 </w:t>
            </w:r>
          </w:p>
        </w:tc>
        <w:tc>
          <w:tcPr>
            <w:tcW w:w="432" w:type="pct"/>
            <w:tcBorders>
              <w:top w:val="nil"/>
              <w:left w:val="nil"/>
              <w:bottom w:val="nil"/>
              <w:right w:val="nil"/>
            </w:tcBorders>
            <w:shd w:val="clear" w:color="000000" w:fill="FFFFFF"/>
            <w:noWrap/>
            <w:vAlign w:val="center"/>
            <w:hideMark/>
          </w:tcPr>
          <w:p w14:paraId="0289ED08"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16,820</w:t>
            </w:r>
          </w:p>
        </w:tc>
        <w:tc>
          <w:tcPr>
            <w:tcW w:w="432" w:type="pct"/>
            <w:tcBorders>
              <w:top w:val="nil"/>
              <w:left w:val="nil"/>
              <w:bottom w:val="nil"/>
              <w:right w:val="nil"/>
            </w:tcBorders>
            <w:shd w:val="clear" w:color="000000" w:fill="E6F2FF"/>
            <w:noWrap/>
            <w:vAlign w:val="center"/>
            <w:hideMark/>
          </w:tcPr>
          <w:p w14:paraId="0056F725"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16,532</w:t>
            </w:r>
          </w:p>
        </w:tc>
        <w:tc>
          <w:tcPr>
            <w:tcW w:w="487" w:type="pct"/>
            <w:tcBorders>
              <w:top w:val="nil"/>
              <w:left w:val="nil"/>
              <w:bottom w:val="nil"/>
              <w:right w:val="nil"/>
            </w:tcBorders>
            <w:shd w:val="clear" w:color="000000" w:fill="FFFFFF"/>
            <w:noWrap/>
            <w:vAlign w:val="center"/>
            <w:hideMark/>
          </w:tcPr>
          <w:p w14:paraId="2353F28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20,604</w:t>
            </w:r>
          </w:p>
        </w:tc>
        <w:tc>
          <w:tcPr>
            <w:tcW w:w="487" w:type="pct"/>
            <w:tcBorders>
              <w:top w:val="nil"/>
              <w:left w:val="nil"/>
              <w:bottom w:val="nil"/>
              <w:right w:val="nil"/>
            </w:tcBorders>
            <w:shd w:val="clear" w:color="000000" w:fill="FFFFFF"/>
            <w:noWrap/>
            <w:vAlign w:val="center"/>
            <w:hideMark/>
          </w:tcPr>
          <w:p w14:paraId="668B01D7"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16,136</w:t>
            </w:r>
          </w:p>
        </w:tc>
        <w:tc>
          <w:tcPr>
            <w:tcW w:w="487" w:type="pct"/>
            <w:tcBorders>
              <w:top w:val="nil"/>
              <w:left w:val="nil"/>
              <w:bottom w:val="nil"/>
              <w:right w:val="nil"/>
            </w:tcBorders>
            <w:shd w:val="clear" w:color="000000" w:fill="FFFFFF"/>
            <w:noWrap/>
            <w:vAlign w:val="center"/>
            <w:hideMark/>
          </w:tcPr>
          <w:p w14:paraId="7DD293E1" w14:textId="77777777" w:rsidR="00D43131" w:rsidRPr="00966BD4" w:rsidRDefault="00D43131" w:rsidP="00D43131">
            <w:pPr>
              <w:spacing w:before="0" w:after="0" w:line="240" w:lineRule="auto"/>
              <w:jc w:val="right"/>
              <w:rPr>
                <w:rFonts w:ascii="Arial" w:hAnsi="Arial" w:cs="Arial"/>
                <w:sz w:val="16"/>
                <w:szCs w:val="16"/>
              </w:rPr>
            </w:pPr>
            <w:r w:rsidRPr="00966BD4">
              <w:rPr>
                <w:rFonts w:ascii="Arial" w:hAnsi="Arial" w:cs="Arial"/>
                <w:sz w:val="16"/>
                <w:szCs w:val="16"/>
              </w:rPr>
              <w:t>15,784</w:t>
            </w:r>
          </w:p>
        </w:tc>
      </w:tr>
      <w:tr w:rsidR="00D43131" w:rsidRPr="00966BD4" w14:paraId="07BEA3B5"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5A1E3F0D" w14:textId="10FB3B16"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Non</w:t>
            </w:r>
            <w:r w:rsidR="001B77CF">
              <w:rPr>
                <w:rFonts w:ascii="Arial" w:hAnsi="Arial" w:cs="Arial"/>
                <w:b/>
                <w:sz w:val="16"/>
                <w:szCs w:val="16"/>
              </w:rPr>
              <w:noBreakHyphen/>
            </w:r>
            <w:r w:rsidRPr="00966BD4">
              <w:rPr>
                <w:rFonts w:ascii="Arial" w:hAnsi="Arial" w:cs="Arial"/>
                <w:b/>
                <w:sz w:val="16"/>
                <w:szCs w:val="16"/>
              </w:rPr>
              <w:t>taxation receipts</w:t>
            </w:r>
          </w:p>
        </w:tc>
        <w:tc>
          <w:tcPr>
            <w:tcW w:w="465" w:type="pct"/>
            <w:tcBorders>
              <w:top w:val="single" w:sz="4" w:space="0" w:color="000000"/>
              <w:left w:val="nil"/>
              <w:bottom w:val="single" w:sz="4" w:space="0" w:color="000000"/>
              <w:right w:val="nil"/>
            </w:tcBorders>
            <w:shd w:val="clear" w:color="000000" w:fill="FFFFFF"/>
            <w:noWrap/>
            <w:vAlign w:val="center"/>
            <w:hideMark/>
          </w:tcPr>
          <w:p w14:paraId="5565CA29"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47,772</w:t>
            </w:r>
          </w:p>
        </w:tc>
        <w:tc>
          <w:tcPr>
            <w:tcW w:w="49" w:type="pct"/>
            <w:tcBorders>
              <w:top w:val="nil"/>
              <w:left w:val="nil"/>
              <w:bottom w:val="nil"/>
              <w:right w:val="nil"/>
            </w:tcBorders>
            <w:shd w:val="clear" w:color="000000" w:fill="FFFFFF"/>
            <w:noWrap/>
            <w:vAlign w:val="center"/>
            <w:hideMark/>
          </w:tcPr>
          <w:p w14:paraId="3D096B13"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single" w:sz="4" w:space="0" w:color="000000"/>
              <w:left w:val="nil"/>
              <w:bottom w:val="single" w:sz="4" w:space="0" w:color="000000"/>
              <w:right w:val="nil"/>
            </w:tcBorders>
            <w:shd w:val="clear" w:color="000000" w:fill="FFFFFF"/>
            <w:noWrap/>
            <w:vAlign w:val="center"/>
            <w:hideMark/>
          </w:tcPr>
          <w:p w14:paraId="2D5D8C20"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47,543</w:t>
            </w:r>
          </w:p>
        </w:tc>
        <w:tc>
          <w:tcPr>
            <w:tcW w:w="432" w:type="pct"/>
            <w:tcBorders>
              <w:top w:val="single" w:sz="4" w:space="0" w:color="000000"/>
              <w:left w:val="nil"/>
              <w:bottom w:val="single" w:sz="4" w:space="0" w:color="000000"/>
              <w:right w:val="nil"/>
            </w:tcBorders>
            <w:shd w:val="clear" w:color="000000" w:fill="E6F2FF"/>
            <w:noWrap/>
            <w:vAlign w:val="center"/>
            <w:hideMark/>
          </w:tcPr>
          <w:p w14:paraId="78D56164"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51,867</w:t>
            </w:r>
          </w:p>
        </w:tc>
        <w:tc>
          <w:tcPr>
            <w:tcW w:w="487" w:type="pct"/>
            <w:tcBorders>
              <w:top w:val="single" w:sz="4" w:space="0" w:color="000000"/>
              <w:left w:val="nil"/>
              <w:bottom w:val="single" w:sz="4" w:space="0" w:color="000000"/>
              <w:right w:val="nil"/>
            </w:tcBorders>
            <w:shd w:val="clear" w:color="000000" w:fill="FFFFFF"/>
            <w:noWrap/>
            <w:vAlign w:val="center"/>
            <w:hideMark/>
          </w:tcPr>
          <w:p w14:paraId="2D063B41"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56,905</w:t>
            </w:r>
          </w:p>
        </w:tc>
        <w:tc>
          <w:tcPr>
            <w:tcW w:w="487" w:type="pct"/>
            <w:tcBorders>
              <w:top w:val="single" w:sz="4" w:space="0" w:color="000000"/>
              <w:left w:val="nil"/>
              <w:bottom w:val="single" w:sz="4" w:space="0" w:color="000000"/>
              <w:right w:val="nil"/>
            </w:tcBorders>
            <w:shd w:val="clear" w:color="000000" w:fill="FFFFFF"/>
            <w:noWrap/>
            <w:vAlign w:val="center"/>
            <w:hideMark/>
          </w:tcPr>
          <w:p w14:paraId="631C0540"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53,076</w:t>
            </w:r>
          </w:p>
        </w:tc>
        <w:tc>
          <w:tcPr>
            <w:tcW w:w="487" w:type="pct"/>
            <w:tcBorders>
              <w:top w:val="single" w:sz="4" w:space="0" w:color="000000"/>
              <w:left w:val="nil"/>
              <w:bottom w:val="single" w:sz="4" w:space="0" w:color="000000"/>
              <w:right w:val="nil"/>
            </w:tcBorders>
            <w:shd w:val="clear" w:color="000000" w:fill="FFFFFF"/>
            <w:noWrap/>
            <w:vAlign w:val="center"/>
            <w:hideMark/>
          </w:tcPr>
          <w:p w14:paraId="450263E2"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54,375</w:t>
            </w:r>
          </w:p>
        </w:tc>
      </w:tr>
      <w:tr w:rsidR="00D43131" w:rsidRPr="00966BD4" w14:paraId="0D6A091E"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79AF89F"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Total receipts</w:t>
            </w:r>
          </w:p>
        </w:tc>
        <w:tc>
          <w:tcPr>
            <w:tcW w:w="465" w:type="pct"/>
            <w:tcBorders>
              <w:top w:val="nil"/>
              <w:left w:val="nil"/>
              <w:bottom w:val="nil"/>
              <w:right w:val="nil"/>
            </w:tcBorders>
            <w:shd w:val="clear" w:color="000000" w:fill="FFFFFF"/>
            <w:noWrap/>
            <w:vAlign w:val="center"/>
            <w:hideMark/>
          </w:tcPr>
          <w:p w14:paraId="4F40C97F"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584,358</w:t>
            </w:r>
          </w:p>
        </w:tc>
        <w:tc>
          <w:tcPr>
            <w:tcW w:w="49" w:type="pct"/>
            <w:tcBorders>
              <w:top w:val="nil"/>
              <w:left w:val="nil"/>
              <w:bottom w:val="nil"/>
              <w:right w:val="nil"/>
            </w:tcBorders>
            <w:shd w:val="clear" w:color="000000" w:fill="FFFFFF"/>
            <w:noWrap/>
            <w:vAlign w:val="center"/>
            <w:hideMark/>
          </w:tcPr>
          <w:p w14:paraId="037EEFE5"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nil"/>
              <w:left w:val="nil"/>
              <w:bottom w:val="nil"/>
              <w:right w:val="nil"/>
            </w:tcBorders>
            <w:shd w:val="clear" w:color="000000" w:fill="FFFFFF"/>
            <w:noWrap/>
            <w:vAlign w:val="center"/>
            <w:hideMark/>
          </w:tcPr>
          <w:p w14:paraId="37C5E71A"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635,593</w:t>
            </w:r>
          </w:p>
        </w:tc>
        <w:tc>
          <w:tcPr>
            <w:tcW w:w="432" w:type="pct"/>
            <w:tcBorders>
              <w:top w:val="nil"/>
              <w:left w:val="nil"/>
              <w:bottom w:val="nil"/>
              <w:right w:val="nil"/>
            </w:tcBorders>
            <w:shd w:val="clear" w:color="000000" w:fill="E6F2FF"/>
            <w:noWrap/>
            <w:vAlign w:val="center"/>
            <w:hideMark/>
          </w:tcPr>
          <w:p w14:paraId="3E3FB227"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668,142</w:t>
            </w:r>
          </w:p>
        </w:tc>
        <w:tc>
          <w:tcPr>
            <w:tcW w:w="487" w:type="pct"/>
            <w:tcBorders>
              <w:top w:val="nil"/>
              <w:left w:val="nil"/>
              <w:bottom w:val="nil"/>
              <w:right w:val="nil"/>
            </w:tcBorders>
            <w:shd w:val="clear" w:color="000000" w:fill="FFFFFF"/>
            <w:noWrap/>
            <w:vAlign w:val="center"/>
            <w:hideMark/>
          </w:tcPr>
          <w:p w14:paraId="2CA2569D"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671,238</w:t>
            </w:r>
          </w:p>
        </w:tc>
        <w:tc>
          <w:tcPr>
            <w:tcW w:w="487" w:type="pct"/>
            <w:tcBorders>
              <w:top w:val="nil"/>
              <w:left w:val="nil"/>
              <w:bottom w:val="nil"/>
              <w:right w:val="nil"/>
            </w:tcBorders>
            <w:shd w:val="clear" w:color="000000" w:fill="FFFFFF"/>
            <w:noWrap/>
            <w:vAlign w:val="center"/>
            <w:hideMark/>
          </w:tcPr>
          <w:p w14:paraId="6AE193B5"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700,922</w:t>
            </w:r>
          </w:p>
        </w:tc>
        <w:tc>
          <w:tcPr>
            <w:tcW w:w="487" w:type="pct"/>
            <w:tcBorders>
              <w:top w:val="nil"/>
              <w:left w:val="nil"/>
              <w:bottom w:val="nil"/>
              <w:right w:val="nil"/>
            </w:tcBorders>
            <w:shd w:val="clear" w:color="000000" w:fill="FFFFFF"/>
            <w:noWrap/>
            <w:vAlign w:val="center"/>
            <w:hideMark/>
          </w:tcPr>
          <w:p w14:paraId="6AEC7C50"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735,118</w:t>
            </w:r>
          </w:p>
        </w:tc>
      </w:tr>
      <w:tr w:rsidR="00D43131" w:rsidRPr="00966BD4" w14:paraId="7DF96798" w14:textId="77777777" w:rsidTr="00D43131">
        <w:trPr>
          <w:divId w:val="1981614279"/>
          <w:trHeight w:hRule="exact" w:val="226"/>
        </w:trPr>
        <w:tc>
          <w:tcPr>
            <w:tcW w:w="2161" w:type="pct"/>
            <w:tcBorders>
              <w:top w:val="single" w:sz="4" w:space="0" w:color="000000"/>
              <w:left w:val="nil"/>
              <w:bottom w:val="nil"/>
              <w:right w:val="nil"/>
            </w:tcBorders>
            <w:shd w:val="clear" w:color="000000" w:fill="FFFFFF"/>
            <w:noWrap/>
            <w:vAlign w:val="center"/>
            <w:hideMark/>
          </w:tcPr>
          <w:p w14:paraId="37EC87B6" w14:textId="77777777" w:rsidR="00D43131" w:rsidRPr="00966BD4" w:rsidRDefault="00D43131" w:rsidP="00D43131">
            <w:pPr>
              <w:spacing w:before="0" w:after="0" w:line="240" w:lineRule="auto"/>
              <w:rPr>
                <w:rFonts w:ascii="Arial" w:hAnsi="Arial" w:cs="Arial"/>
                <w:i/>
                <w:sz w:val="16"/>
                <w:szCs w:val="16"/>
              </w:rPr>
            </w:pPr>
            <w:r w:rsidRPr="00966BD4">
              <w:rPr>
                <w:rFonts w:ascii="Arial" w:hAnsi="Arial" w:cs="Arial"/>
                <w:i/>
                <w:sz w:val="16"/>
                <w:szCs w:val="16"/>
              </w:rPr>
              <w:t>Memorandum:</w:t>
            </w:r>
          </w:p>
        </w:tc>
        <w:tc>
          <w:tcPr>
            <w:tcW w:w="465" w:type="pct"/>
            <w:tcBorders>
              <w:top w:val="single" w:sz="4" w:space="0" w:color="000000"/>
              <w:left w:val="nil"/>
              <w:bottom w:val="nil"/>
              <w:right w:val="nil"/>
            </w:tcBorders>
            <w:shd w:val="clear" w:color="000000" w:fill="FFFFFF"/>
            <w:noWrap/>
            <w:vAlign w:val="center"/>
            <w:hideMark/>
          </w:tcPr>
          <w:p w14:paraId="081F135C"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9" w:type="pct"/>
            <w:tcBorders>
              <w:top w:val="single" w:sz="4" w:space="0" w:color="000000"/>
              <w:left w:val="nil"/>
              <w:bottom w:val="nil"/>
              <w:right w:val="nil"/>
            </w:tcBorders>
            <w:shd w:val="clear" w:color="000000" w:fill="FFFFFF"/>
            <w:noWrap/>
            <w:vAlign w:val="center"/>
            <w:hideMark/>
          </w:tcPr>
          <w:p w14:paraId="2B36536A"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32" w:type="pct"/>
            <w:tcBorders>
              <w:top w:val="single" w:sz="4" w:space="0" w:color="000000"/>
              <w:left w:val="nil"/>
              <w:bottom w:val="nil"/>
              <w:right w:val="nil"/>
            </w:tcBorders>
            <w:shd w:val="clear" w:color="000000" w:fill="FFFFFF"/>
            <w:noWrap/>
            <w:vAlign w:val="center"/>
            <w:hideMark/>
          </w:tcPr>
          <w:p w14:paraId="5E2ADCAD"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 </w:t>
            </w:r>
          </w:p>
        </w:tc>
        <w:tc>
          <w:tcPr>
            <w:tcW w:w="432" w:type="pct"/>
            <w:tcBorders>
              <w:top w:val="single" w:sz="4" w:space="0" w:color="000000"/>
              <w:left w:val="nil"/>
              <w:bottom w:val="nil"/>
              <w:right w:val="nil"/>
            </w:tcBorders>
            <w:shd w:val="clear" w:color="000000" w:fill="E6F2FF"/>
            <w:noWrap/>
            <w:vAlign w:val="center"/>
            <w:hideMark/>
          </w:tcPr>
          <w:p w14:paraId="2D60CA84" w14:textId="77777777" w:rsidR="00D43131" w:rsidRPr="00966BD4" w:rsidRDefault="00D43131" w:rsidP="00D43131">
            <w:pPr>
              <w:spacing w:before="0" w:after="0" w:line="240" w:lineRule="auto"/>
              <w:rPr>
                <w:rFonts w:ascii="Arial" w:hAnsi="Arial" w:cs="Arial"/>
                <w:b/>
                <w:sz w:val="16"/>
                <w:szCs w:val="16"/>
              </w:rPr>
            </w:pPr>
            <w:r w:rsidRPr="00966BD4">
              <w:rPr>
                <w:rFonts w:ascii="Arial" w:hAnsi="Arial" w:cs="Arial"/>
                <w:b/>
                <w:sz w:val="16"/>
                <w:szCs w:val="16"/>
              </w:rPr>
              <w:t> </w:t>
            </w:r>
          </w:p>
        </w:tc>
        <w:tc>
          <w:tcPr>
            <w:tcW w:w="487" w:type="pct"/>
            <w:tcBorders>
              <w:top w:val="single" w:sz="4" w:space="0" w:color="000000"/>
              <w:left w:val="nil"/>
              <w:bottom w:val="nil"/>
              <w:right w:val="nil"/>
            </w:tcBorders>
            <w:shd w:val="clear" w:color="000000" w:fill="FFFFFF"/>
            <w:noWrap/>
            <w:vAlign w:val="center"/>
            <w:hideMark/>
          </w:tcPr>
          <w:p w14:paraId="7545F27B"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87" w:type="pct"/>
            <w:tcBorders>
              <w:top w:val="single" w:sz="4" w:space="0" w:color="000000"/>
              <w:left w:val="nil"/>
              <w:bottom w:val="nil"/>
              <w:right w:val="nil"/>
            </w:tcBorders>
            <w:shd w:val="clear" w:color="000000" w:fill="FFFFFF"/>
            <w:noWrap/>
            <w:vAlign w:val="center"/>
            <w:hideMark/>
          </w:tcPr>
          <w:p w14:paraId="1774524C"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c>
          <w:tcPr>
            <w:tcW w:w="487" w:type="pct"/>
            <w:tcBorders>
              <w:top w:val="single" w:sz="4" w:space="0" w:color="000000"/>
              <w:left w:val="nil"/>
              <w:bottom w:val="nil"/>
              <w:right w:val="nil"/>
            </w:tcBorders>
            <w:shd w:val="clear" w:color="000000" w:fill="FFFFFF"/>
            <w:noWrap/>
            <w:vAlign w:val="center"/>
            <w:hideMark/>
          </w:tcPr>
          <w:p w14:paraId="6485D997" w14:textId="77777777" w:rsidR="00D43131" w:rsidRPr="00966BD4" w:rsidRDefault="00D43131" w:rsidP="00D43131">
            <w:pPr>
              <w:spacing w:before="0" w:after="0" w:line="240" w:lineRule="auto"/>
              <w:jc w:val="right"/>
              <w:rPr>
                <w:rFonts w:ascii="Arial" w:hAnsi="Arial" w:cs="Arial"/>
                <w:b/>
                <w:sz w:val="16"/>
                <w:szCs w:val="16"/>
              </w:rPr>
            </w:pPr>
            <w:r w:rsidRPr="00966BD4">
              <w:rPr>
                <w:rFonts w:ascii="Arial" w:hAnsi="Arial" w:cs="Arial"/>
                <w:b/>
                <w:sz w:val="16"/>
                <w:szCs w:val="16"/>
              </w:rPr>
              <w:t> </w:t>
            </w:r>
          </w:p>
        </w:tc>
      </w:tr>
      <w:tr w:rsidR="00D43131" w:rsidRPr="00966BD4" w14:paraId="0CDE0794"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64082814" w14:textId="77777777" w:rsidR="00D43131" w:rsidRPr="00966BD4" w:rsidRDefault="00D43131" w:rsidP="00D43131">
            <w:pPr>
              <w:spacing w:before="0" w:after="0" w:line="240" w:lineRule="auto"/>
              <w:ind w:left="170"/>
              <w:rPr>
                <w:rFonts w:ascii="Arial" w:hAnsi="Arial" w:cs="Arial"/>
                <w:i/>
                <w:sz w:val="16"/>
                <w:szCs w:val="16"/>
              </w:rPr>
            </w:pPr>
            <w:r w:rsidRPr="00966BD4">
              <w:rPr>
                <w:rFonts w:ascii="Arial" w:hAnsi="Arial" w:cs="Arial"/>
                <w:i/>
                <w:sz w:val="16"/>
                <w:szCs w:val="16"/>
              </w:rPr>
              <w:t xml:space="preserve">Total excise </w:t>
            </w:r>
          </w:p>
        </w:tc>
        <w:tc>
          <w:tcPr>
            <w:tcW w:w="465" w:type="pct"/>
            <w:tcBorders>
              <w:top w:val="nil"/>
              <w:left w:val="nil"/>
              <w:bottom w:val="nil"/>
              <w:right w:val="nil"/>
            </w:tcBorders>
            <w:shd w:val="clear" w:color="000000" w:fill="FFFFFF"/>
            <w:noWrap/>
            <w:vAlign w:val="center"/>
            <w:hideMark/>
          </w:tcPr>
          <w:p w14:paraId="27F67CD4"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22,539</w:t>
            </w:r>
          </w:p>
        </w:tc>
        <w:tc>
          <w:tcPr>
            <w:tcW w:w="49" w:type="pct"/>
            <w:tcBorders>
              <w:top w:val="nil"/>
              <w:left w:val="nil"/>
              <w:bottom w:val="nil"/>
              <w:right w:val="nil"/>
            </w:tcBorders>
            <w:shd w:val="clear" w:color="000000" w:fill="FFFFFF"/>
            <w:noWrap/>
            <w:vAlign w:val="center"/>
            <w:hideMark/>
          </w:tcPr>
          <w:p w14:paraId="361FAAA1"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 </w:t>
            </w:r>
          </w:p>
        </w:tc>
        <w:tc>
          <w:tcPr>
            <w:tcW w:w="432" w:type="pct"/>
            <w:tcBorders>
              <w:top w:val="nil"/>
              <w:left w:val="nil"/>
              <w:bottom w:val="nil"/>
              <w:right w:val="nil"/>
            </w:tcBorders>
            <w:shd w:val="clear" w:color="000000" w:fill="FFFFFF"/>
            <w:noWrap/>
            <w:vAlign w:val="center"/>
            <w:hideMark/>
          </w:tcPr>
          <w:p w14:paraId="77E1C59E"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26,070</w:t>
            </w:r>
          </w:p>
        </w:tc>
        <w:tc>
          <w:tcPr>
            <w:tcW w:w="432" w:type="pct"/>
            <w:tcBorders>
              <w:top w:val="nil"/>
              <w:left w:val="nil"/>
              <w:bottom w:val="nil"/>
              <w:right w:val="nil"/>
            </w:tcBorders>
            <w:shd w:val="clear" w:color="000000" w:fill="E6F2FF"/>
            <w:noWrap/>
            <w:vAlign w:val="center"/>
            <w:hideMark/>
          </w:tcPr>
          <w:p w14:paraId="2B672427"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30,010</w:t>
            </w:r>
          </w:p>
        </w:tc>
        <w:tc>
          <w:tcPr>
            <w:tcW w:w="487" w:type="pct"/>
            <w:tcBorders>
              <w:top w:val="nil"/>
              <w:left w:val="nil"/>
              <w:bottom w:val="nil"/>
              <w:right w:val="nil"/>
            </w:tcBorders>
            <w:shd w:val="clear" w:color="000000" w:fill="FFFFFF"/>
            <w:noWrap/>
            <w:vAlign w:val="center"/>
            <w:hideMark/>
          </w:tcPr>
          <w:p w14:paraId="2EE2B96C"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34,480</w:t>
            </w:r>
          </w:p>
        </w:tc>
        <w:tc>
          <w:tcPr>
            <w:tcW w:w="487" w:type="pct"/>
            <w:tcBorders>
              <w:top w:val="nil"/>
              <w:left w:val="nil"/>
              <w:bottom w:val="nil"/>
              <w:right w:val="nil"/>
            </w:tcBorders>
            <w:shd w:val="clear" w:color="000000" w:fill="FFFFFF"/>
            <w:noWrap/>
            <w:vAlign w:val="center"/>
            <w:hideMark/>
          </w:tcPr>
          <w:p w14:paraId="4AF02220"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35,040</w:t>
            </w:r>
          </w:p>
        </w:tc>
        <w:tc>
          <w:tcPr>
            <w:tcW w:w="487" w:type="pct"/>
            <w:tcBorders>
              <w:top w:val="nil"/>
              <w:left w:val="nil"/>
              <w:bottom w:val="nil"/>
              <w:right w:val="nil"/>
            </w:tcBorders>
            <w:shd w:val="clear" w:color="000000" w:fill="FFFFFF"/>
            <w:noWrap/>
            <w:vAlign w:val="center"/>
            <w:hideMark/>
          </w:tcPr>
          <w:p w14:paraId="795A00CF"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36,410</w:t>
            </w:r>
          </w:p>
        </w:tc>
      </w:tr>
      <w:tr w:rsidR="00D43131" w:rsidRPr="00966BD4" w14:paraId="114F49C2" w14:textId="77777777" w:rsidTr="00D43131">
        <w:trPr>
          <w:divId w:val="1981614279"/>
          <w:trHeight w:hRule="exact" w:val="226"/>
        </w:trPr>
        <w:tc>
          <w:tcPr>
            <w:tcW w:w="2161" w:type="pct"/>
            <w:tcBorders>
              <w:top w:val="nil"/>
              <w:left w:val="nil"/>
              <w:bottom w:val="nil"/>
              <w:right w:val="nil"/>
            </w:tcBorders>
            <w:shd w:val="clear" w:color="000000" w:fill="FFFFFF"/>
            <w:noWrap/>
            <w:vAlign w:val="center"/>
            <w:hideMark/>
          </w:tcPr>
          <w:p w14:paraId="3CD56E57" w14:textId="77777777" w:rsidR="00D43131" w:rsidRPr="00966BD4" w:rsidRDefault="00D43131" w:rsidP="00D43131">
            <w:pPr>
              <w:spacing w:before="0" w:after="0" w:line="240" w:lineRule="auto"/>
              <w:ind w:left="170"/>
              <w:rPr>
                <w:rFonts w:ascii="Arial" w:hAnsi="Arial" w:cs="Arial"/>
                <w:i/>
                <w:sz w:val="16"/>
                <w:szCs w:val="16"/>
              </w:rPr>
            </w:pPr>
            <w:r w:rsidRPr="00966BD4">
              <w:rPr>
                <w:rFonts w:ascii="Arial" w:hAnsi="Arial" w:cs="Arial"/>
                <w:i/>
                <w:sz w:val="16"/>
                <w:szCs w:val="16"/>
              </w:rPr>
              <w:t xml:space="preserve">Total customs duty </w:t>
            </w:r>
          </w:p>
        </w:tc>
        <w:tc>
          <w:tcPr>
            <w:tcW w:w="465" w:type="pct"/>
            <w:tcBorders>
              <w:top w:val="nil"/>
              <w:left w:val="nil"/>
              <w:bottom w:val="nil"/>
              <w:right w:val="nil"/>
            </w:tcBorders>
            <w:shd w:val="clear" w:color="000000" w:fill="FFFFFF"/>
            <w:noWrap/>
            <w:vAlign w:val="center"/>
            <w:hideMark/>
          </w:tcPr>
          <w:p w14:paraId="62F6D493"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16,588</w:t>
            </w:r>
          </w:p>
        </w:tc>
        <w:tc>
          <w:tcPr>
            <w:tcW w:w="49" w:type="pct"/>
            <w:tcBorders>
              <w:top w:val="nil"/>
              <w:left w:val="nil"/>
              <w:bottom w:val="nil"/>
              <w:right w:val="nil"/>
            </w:tcBorders>
            <w:shd w:val="clear" w:color="000000" w:fill="FFFFFF"/>
            <w:noWrap/>
            <w:vAlign w:val="center"/>
            <w:hideMark/>
          </w:tcPr>
          <w:p w14:paraId="3245E47E"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 </w:t>
            </w:r>
          </w:p>
        </w:tc>
        <w:tc>
          <w:tcPr>
            <w:tcW w:w="432" w:type="pct"/>
            <w:tcBorders>
              <w:top w:val="nil"/>
              <w:left w:val="nil"/>
              <w:bottom w:val="nil"/>
              <w:right w:val="nil"/>
            </w:tcBorders>
            <w:shd w:val="clear" w:color="000000" w:fill="FFFFFF"/>
            <w:noWrap/>
            <w:vAlign w:val="center"/>
            <w:hideMark/>
          </w:tcPr>
          <w:p w14:paraId="3E5B8E7D"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17,180</w:t>
            </w:r>
          </w:p>
        </w:tc>
        <w:tc>
          <w:tcPr>
            <w:tcW w:w="432" w:type="pct"/>
            <w:tcBorders>
              <w:top w:val="nil"/>
              <w:left w:val="nil"/>
              <w:bottom w:val="nil"/>
              <w:right w:val="nil"/>
            </w:tcBorders>
            <w:shd w:val="clear" w:color="000000" w:fill="E6F2FF"/>
            <w:noWrap/>
            <w:vAlign w:val="center"/>
            <w:hideMark/>
          </w:tcPr>
          <w:p w14:paraId="59762DA5"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17,220</w:t>
            </w:r>
          </w:p>
        </w:tc>
        <w:tc>
          <w:tcPr>
            <w:tcW w:w="487" w:type="pct"/>
            <w:tcBorders>
              <w:top w:val="nil"/>
              <w:left w:val="nil"/>
              <w:bottom w:val="nil"/>
              <w:right w:val="nil"/>
            </w:tcBorders>
            <w:shd w:val="clear" w:color="000000" w:fill="FFFFFF"/>
            <w:noWrap/>
            <w:vAlign w:val="center"/>
            <w:hideMark/>
          </w:tcPr>
          <w:p w14:paraId="25C203C9"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15,290</w:t>
            </w:r>
          </w:p>
        </w:tc>
        <w:tc>
          <w:tcPr>
            <w:tcW w:w="487" w:type="pct"/>
            <w:tcBorders>
              <w:top w:val="nil"/>
              <w:left w:val="nil"/>
              <w:bottom w:val="nil"/>
              <w:right w:val="nil"/>
            </w:tcBorders>
            <w:shd w:val="clear" w:color="000000" w:fill="FFFFFF"/>
            <w:noWrap/>
            <w:vAlign w:val="center"/>
            <w:hideMark/>
          </w:tcPr>
          <w:p w14:paraId="1F17FEA1"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15,130</w:t>
            </w:r>
          </w:p>
        </w:tc>
        <w:tc>
          <w:tcPr>
            <w:tcW w:w="487" w:type="pct"/>
            <w:tcBorders>
              <w:top w:val="nil"/>
              <w:left w:val="nil"/>
              <w:bottom w:val="nil"/>
              <w:right w:val="nil"/>
            </w:tcBorders>
            <w:shd w:val="clear" w:color="000000" w:fill="FFFFFF"/>
            <w:noWrap/>
            <w:vAlign w:val="center"/>
            <w:hideMark/>
          </w:tcPr>
          <w:p w14:paraId="76901A56"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15,650</w:t>
            </w:r>
          </w:p>
        </w:tc>
      </w:tr>
      <w:tr w:rsidR="00D43131" w:rsidRPr="00966BD4" w14:paraId="1E6908FA" w14:textId="77777777" w:rsidTr="00D43131">
        <w:trPr>
          <w:divId w:val="1981614279"/>
          <w:trHeight w:hRule="exact" w:val="226"/>
        </w:trPr>
        <w:tc>
          <w:tcPr>
            <w:tcW w:w="2161" w:type="pct"/>
            <w:tcBorders>
              <w:top w:val="nil"/>
              <w:left w:val="nil"/>
              <w:bottom w:val="single" w:sz="4" w:space="0" w:color="000000"/>
              <w:right w:val="nil"/>
            </w:tcBorders>
            <w:shd w:val="clear" w:color="000000" w:fill="FFFFFF"/>
            <w:noWrap/>
            <w:vAlign w:val="center"/>
            <w:hideMark/>
          </w:tcPr>
          <w:p w14:paraId="29CD5C56" w14:textId="77777777" w:rsidR="00D43131" w:rsidRPr="00966BD4" w:rsidRDefault="00D43131" w:rsidP="00D43131">
            <w:pPr>
              <w:spacing w:before="0" w:after="0" w:line="240" w:lineRule="auto"/>
              <w:ind w:left="170"/>
              <w:rPr>
                <w:rFonts w:ascii="Arial" w:hAnsi="Arial" w:cs="Arial"/>
                <w:i/>
                <w:sz w:val="16"/>
                <w:szCs w:val="16"/>
              </w:rPr>
            </w:pPr>
            <w:r w:rsidRPr="00966BD4">
              <w:rPr>
                <w:rFonts w:ascii="Arial" w:hAnsi="Arial" w:cs="Arial"/>
                <w:i/>
                <w:sz w:val="16"/>
                <w:szCs w:val="16"/>
              </w:rPr>
              <w:t>Capital gains tax(c)</w:t>
            </w:r>
          </w:p>
        </w:tc>
        <w:tc>
          <w:tcPr>
            <w:tcW w:w="465" w:type="pct"/>
            <w:tcBorders>
              <w:top w:val="nil"/>
              <w:left w:val="nil"/>
              <w:bottom w:val="single" w:sz="4" w:space="0" w:color="000000"/>
              <w:right w:val="nil"/>
            </w:tcBorders>
            <w:shd w:val="clear" w:color="000000" w:fill="FFFFFF"/>
            <w:noWrap/>
            <w:vAlign w:val="center"/>
            <w:hideMark/>
          </w:tcPr>
          <w:p w14:paraId="465C264F"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25,400</w:t>
            </w:r>
          </w:p>
        </w:tc>
        <w:tc>
          <w:tcPr>
            <w:tcW w:w="49" w:type="pct"/>
            <w:tcBorders>
              <w:top w:val="nil"/>
              <w:left w:val="nil"/>
              <w:bottom w:val="single" w:sz="4" w:space="0" w:color="000000"/>
              <w:right w:val="nil"/>
            </w:tcBorders>
            <w:shd w:val="clear" w:color="000000" w:fill="FFFFFF"/>
            <w:noWrap/>
            <w:vAlign w:val="center"/>
            <w:hideMark/>
          </w:tcPr>
          <w:p w14:paraId="58368116"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 </w:t>
            </w:r>
          </w:p>
        </w:tc>
        <w:tc>
          <w:tcPr>
            <w:tcW w:w="432" w:type="pct"/>
            <w:tcBorders>
              <w:top w:val="nil"/>
              <w:left w:val="nil"/>
              <w:bottom w:val="single" w:sz="4" w:space="0" w:color="000000"/>
              <w:right w:val="nil"/>
            </w:tcBorders>
            <w:shd w:val="clear" w:color="000000" w:fill="FFFFFF"/>
            <w:noWrap/>
            <w:vAlign w:val="center"/>
            <w:hideMark/>
          </w:tcPr>
          <w:p w14:paraId="3E030168"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28,600</w:t>
            </w:r>
          </w:p>
        </w:tc>
        <w:tc>
          <w:tcPr>
            <w:tcW w:w="432" w:type="pct"/>
            <w:tcBorders>
              <w:top w:val="nil"/>
              <w:left w:val="nil"/>
              <w:bottom w:val="single" w:sz="4" w:space="0" w:color="000000"/>
              <w:right w:val="nil"/>
            </w:tcBorders>
            <w:shd w:val="clear" w:color="000000" w:fill="E6F2FF"/>
            <w:noWrap/>
            <w:vAlign w:val="center"/>
            <w:hideMark/>
          </w:tcPr>
          <w:p w14:paraId="1459D983"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23,200</w:t>
            </w:r>
          </w:p>
        </w:tc>
        <w:tc>
          <w:tcPr>
            <w:tcW w:w="487" w:type="pct"/>
            <w:tcBorders>
              <w:top w:val="nil"/>
              <w:left w:val="nil"/>
              <w:bottom w:val="single" w:sz="4" w:space="0" w:color="000000"/>
              <w:right w:val="nil"/>
            </w:tcBorders>
            <w:shd w:val="clear" w:color="000000" w:fill="FFFFFF"/>
            <w:noWrap/>
            <w:vAlign w:val="center"/>
            <w:hideMark/>
          </w:tcPr>
          <w:p w14:paraId="55FA2B30"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20,300</w:t>
            </w:r>
          </w:p>
        </w:tc>
        <w:tc>
          <w:tcPr>
            <w:tcW w:w="487" w:type="pct"/>
            <w:tcBorders>
              <w:top w:val="nil"/>
              <w:left w:val="nil"/>
              <w:bottom w:val="single" w:sz="4" w:space="0" w:color="000000"/>
              <w:right w:val="nil"/>
            </w:tcBorders>
            <w:shd w:val="clear" w:color="000000" w:fill="FFFFFF"/>
            <w:noWrap/>
            <w:vAlign w:val="center"/>
            <w:hideMark/>
          </w:tcPr>
          <w:p w14:paraId="7957BDE8"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20,100</w:t>
            </w:r>
          </w:p>
        </w:tc>
        <w:tc>
          <w:tcPr>
            <w:tcW w:w="487" w:type="pct"/>
            <w:tcBorders>
              <w:top w:val="nil"/>
              <w:left w:val="nil"/>
              <w:bottom w:val="single" w:sz="4" w:space="0" w:color="000000"/>
              <w:right w:val="nil"/>
            </w:tcBorders>
            <w:shd w:val="clear" w:color="000000" w:fill="FFFFFF"/>
            <w:noWrap/>
            <w:vAlign w:val="center"/>
            <w:hideMark/>
          </w:tcPr>
          <w:p w14:paraId="361D5595" w14:textId="77777777" w:rsidR="00D43131" w:rsidRPr="00966BD4" w:rsidRDefault="00D43131" w:rsidP="00D43131">
            <w:pPr>
              <w:spacing w:before="0" w:after="0" w:line="240" w:lineRule="auto"/>
              <w:jc w:val="right"/>
              <w:rPr>
                <w:rFonts w:ascii="Arial" w:hAnsi="Arial" w:cs="Arial"/>
                <w:i/>
                <w:sz w:val="16"/>
                <w:szCs w:val="16"/>
              </w:rPr>
            </w:pPr>
            <w:r w:rsidRPr="00966BD4">
              <w:rPr>
                <w:rFonts w:ascii="Arial" w:hAnsi="Arial" w:cs="Arial"/>
                <w:i/>
                <w:sz w:val="16"/>
                <w:szCs w:val="16"/>
              </w:rPr>
              <w:t>20,900</w:t>
            </w:r>
          </w:p>
        </w:tc>
      </w:tr>
    </w:tbl>
    <w:p w14:paraId="63BA041C" w14:textId="27FEE974" w:rsidR="00E0375A" w:rsidRPr="00966BD4" w:rsidRDefault="001B77CF" w:rsidP="00F23850">
      <w:pPr>
        <w:pStyle w:val="ChartandTableFootnoteAlpha"/>
        <w:numPr>
          <w:ilvl w:val="0"/>
          <w:numId w:val="10"/>
        </w:numPr>
        <w:rPr>
          <w:color w:val="auto"/>
        </w:rPr>
      </w:pPr>
      <w:r>
        <w:rPr>
          <w:color w:val="auto"/>
        </w:rPr>
        <w:t>‘</w:t>
      </w:r>
      <w:r w:rsidR="00E0375A" w:rsidRPr="00966BD4">
        <w:rPr>
          <w:color w:val="auto"/>
        </w:rPr>
        <w:t>Other alcoholic beverages</w:t>
      </w:r>
      <w:r>
        <w:rPr>
          <w:color w:val="auto"/>
        </w:rPr>
        <w:t>’</w:t>
      </w:r>
      <w:r w:rsidR="00E0375A" w:rsidRPr="00966BD4">
        <w:rPr>
          <w:color w:val="auto"/>
        </w:rPr>
        <w:t xml:space="preserve"> are those not exceeding 10 per cent by volume of alcohol (excluding beer, brandy and wine). </w:t>
      </w:r>
    </w:p>
    <w:p w14:paraId="723C9B35" w14:textId="0CAB00C4" w:rsidR="00E0375A" w:rsidRPr="00966BD4" w:rsidRDefault="004B1E8F" w:rsidP="00723ECD">
      <w:pPr>
        <w:pStyle w:val="ChartandTableFootnoteAlpha"/>
        <w:rPr>
          <w:color w:val="auto"/>
        </w:rPr>
      </w:pPr>
      <w:r w:rsidRPr="00966BD4">
        <w:rPr>
          <w:color w:val="auto"/>
        </w:rPr>
        <w:t>Prior to the 202</w:t>
      </w:r>
      <w:r w:rsidR="00825B55" w:rsidRPr="00966BD4">
        <w:rPr>
          <w:color w:val="auto"/>
        </w:rPr>
        <w:t>2–2</w:t>
      </w:r>
      <w:r w:rsidRPr="00966BD4">
        <w:rPr>
          <w:color w:val="auto"/>
        </w:rPr>
        <w:t xml:space="preserve">3 October Budget, </w:t>
      </w:r>
      <w:r w:rsidR="001B77CF">
        <w:rPr>
          <w:color w:val="auto"/>
        </w:rPr>
        <w:t>‘</w:t>
      </w:r>
      <w:r w:rsidRPr="00966BD4">
        <w:rPr>
          <w:color w:val="auto"/>
        </w:rPr>
        <w:t>visa application charges</w:t>
      </w:r>
      <w:r w:rsidR="001B77CF">
        <w:rPr>
          <w:color w:val="auto"/>
        </w:rPr>
        <w:t>’</w:t>
      </w:r>
      <w:r w:rsidRPr="00966BD4">
        <w:rPr>
          <w:color w:val="auto"/>
        </w:rPr>
        <w:t xml:space="preserve"> were previously included in </w:t>
      </w:r>
      <w:r w:rsidR="001B77CF">
        <w:rPr>
          <w:color w:val="auto"/>
        </w:rPr>
        <w:t>‘</w:t>
      </w:r>
      <w:r w:rsidRPr="00966BD4">
        <w:rPr>
          <w:color w:val="auto"/>
        </w:rPr>
        <w:t xml:space="preserve">other </w:t>
      </w:r>
      <w:proofErr w:type="gramStart"/>
      <w:r w:rsidRPr="00966BD4">
        <w:rPr>
          <w:color w:val="auto"/>
        </w:rPr>
        <w:t>taxes</w:t>
      </w:r>
      <w:r w:rsidR="001B77CF">
        <w:rPr>
          <w:color w:val="auto"/>
        </w:rPr>
        <w:t>’</w:t>
      </w:r>
      <w:proofErr w:type="gramEnd"/>
      <w:r w:rsidRPr="00966BD4">
        <w:rPr>
          <w:color w:val="auto"/>
        </w:rPr>
        <w:t xml:space="preserve">. </w:t>
      </w:r>
    </w:p>
    <w:p w14:paraId="1A1B35D2" w14:textId="652C97B5" w:rsidR="00E0375A" w:rsidRPr="00966BD4" w:rsidRDefault="001B77CF" w:rsidP="00D13299">
      <w:pPr>
        <w:pStyle w:val="ChartandTableFootnoteAlpha"/>
        <w:pBdr>
          <w:bottom w:val="single" w:sz="4" w:space="1" w:color="auto"/>
        </w:pBdr>
        <w:rPr>
          <w:color w:val="auto"/>
        </w:rPr>
      </w:pPr>
      <w:r>
        <w:rPr>
          <w:color w:val="auto"/>
        </w:rPr>
        <w:t>‘</w:t>
      </w:r>
      <w:r w:rsidR="00E0375A" w:rsidRPr="00966BD4">
        <w:rPr>
          <w:color w:val="auto"/>
        </w:rPr>
        <w:t>Capital gains tax</w:t>
      </w:r>
      <w:r>
        <w:rPr>
          <w:color w:val="auto"/>
        </w:rPr>
        <w:t>’</w:t>
      </w:r>
      <w:r w:rsidR="00E0375A" w:rsidRPr="00966BD4">
        <w:rPr>
          <w:color w:val="auto"/>
        </w:rPr>
        <w:t xml:space="preserve"> is part of gross other individuals, company tax and superannuation fund taxes.</w:t>
      </w:r>
    </w:p>
    <w:p w14:paraId="20EC6C9E" w14:textId="77777777" w:rsidR="00D907F8" w:rsidRPr="00966BD4" w:rsidRDefault="00D907F8" w:rsidP="00D907F8">
      <w:pPr>
        <w:pStyle w:val="Heading2"/>
      </w:pPr>
      <w:bookmarkStart w:id="45" w:name="_Toc134182350"/>
      <w:r w:rsidRPr="00966BD4">
        <w:lastRenderedPageBreak/>
        <w:t>Variations in revenue estimates</w:t>
      </w:r>
      <w:bookmarkEnd w:id="45"/>
    </w:p>
    <w:p w14:paraId="290FAD23" w14:textId="27F15CBA" w:rsidR="00D907F8" w:rsidRPr="00966BD4" w:rsidRDefault="00D907F8" w:rsidP="00774E24">
      <w:r w:rsidRPr="00966BD4">
        <w:t>The revenue estimates are the accrual accounting equivalent of the cash</w:t>
      </w:r>
      <w:r w:rsidR="001B77CF">
        <w:noBreakHyphen/>
      </w:r>
      <w:r w:rsidRPr="00966BD4">
        <w:t xml:space="preserve">based receipts estimates. Changes in revenue are generally driven by the same factors as receipts. </w:t>
      </w:r>
    </w:p>
    <w:p w14:paraId="5971D2FB" w14:textId="59E22079" w:rsidR="00D907F8" w:rsidRPr="00966BD4" w:rsidRDefault="00D907F8" w:rsidP="00774E24">
      <w:r w:rsidRPr="00966BD4">
        <w:t>Revenues are usually higher than the cash equivalents because the amounts are generally recognised when they are owed rather than when they are paid. The differences between the accrual and cash amounts therefore generally reflect payment timing differences. Table 5.</w:t>
      </w:r>
      <w:r w:rsidR="0052756D" w:rsidRPr="00966BD4">
        <w:t>8</w:t>
      </w:r>
      <w:r w:rsidRPr="00966BD4">
        <w:t xml:space="preserve"> provides a reconciliation of the 202</w:t>
      </w:r>
      <w:r w:rsidR="00942825" w:rsidRPr="00966BD4">
        <w:t>3</w:t>
      </w:r>
      <w:r w:rsidRPr="00966BD4">
        <w:t>–2</w:t>
      </w:r>
      <w:r w:rsidR="00942825" w:rsidRPr="00966BD4">
        <w:t>4</w:t>
      </w:r>
      <w:r w:rsidRPr="00966BD4">
        <w:t xml:space="preserve"> Budget revenue estimates with those at the </w:t>
      </w:r>
      <w:r w:rsidR="00942825" w:rsidRPr="00966BD4">
        <w:t xml:space="preserve">October </w:t>
      </w:r>
      <w:r w:rsidRPr="00966BD4">
        <w:t xml:space="preserve">Budget and </w:t>
      </w:r>
      <w:r w:rsidR="00551B6F" w:rsidRPr="00966BD4">
        <w:t xml:space="preserve">2022 </w:t>
      </w:r>
      <w:r w:rsidRPr="00966BD4">
        <w:t xml:space="preserve">PEFO. </w:t>
      </w:r>
    </w:p>
    <w:p w14:paraId="31156B47" w14:textId="03888910" w:rsidR="00207E57" w:rsidRPr="00966BD4" w:rsidRDefault="00D907F8" w:rsidP="00A41B69">
      <w:pPr>
        <w:pStyle w:val="TableHeading"/>
        <w:rPr>
          <w:rFonts w:asciiTheme="minorHAnsi" w:eastAsiaTheme="minorHAnsi" w:hAnsiTheme="minorHAnsi" w:cstheme="minorBidi"/>
          <w:sz w:val="22"/>
          <w:szCs w:val="22"/>
          <w:lang w:eastAsia="en-US"/>
        </w:rPr>
      </w:pPr>
      <w:r w:rsidRPr="00966BD4">
        <w:t>Table 5.</w:t>
      </w:r>
      <w:r w:rsidR="00771E4F" w:rsidRPr="00966BD4">
        <w:t>8</w:t>
      </w:r>
      <w:r w:rsidRPr="00966BD4">
        <w:t>: Reconciliation of Australian Government general government revenue estimates from the 2022–23</w:t>
      </w:r>
      <w:r w:rsidR="003170DC" w:rsidRPr="00966BD4">
        <w:t xml:space="preserve"> October Budget and </w:t>
      </w:r>
      <w:r w:rsidR="000E4965" w:rsidRPr="00966BD4">
        <w:t xml:space="preserve">2022 </w:t>
      </w:r>
      <w:r w:rsidR="003170DC" w:rsidRPr="00966BD4">
        <w:t>PEFO</w:t>
      </w:r>
    </w:p>
    <w:tbl>
      <w:tblPr>
        <w:tblW w:w="5000" w:type="pct"/>
        <w:tblCellMar>
          <w:left w:w="0" w:type="dxa"/>
          <w:right w:w="28" w:type="dxa"/>
        </w:tblCellMar>
        <w:tblLook w:val="04A0" w:firstRow="1" w:lastRow="0" w:firstColumn="1" w:lastColumn="0" w:noHBand="0" w:noVBand="1"/>
      </w:tblPr>
      <w:tblGrid>
        <w:gridCol w:w="3139"/>
        <w:gridCol w:w="730"/>
        <w:gridCol w:w="729"/>
        <w:gridCol w:w="729"/>
        <w:gridCol w:w="729"/>
        <w:gridCol w:w="732"/>
        <w:gridCol w:w="82"/>
        <w:gridCol w:w="840"/>
      </w:tblGrid>
      <w:tr w:rsidR="00207E57" w:rsidRPr="00966BD4" w14:paraId="0D5B6C25" w14:textId="77777777" w:rsidTr="00207E57">
        <w:trPr>
          <w:divId w:val="293802899"/>
          <w:trHeight w:hRule="exact" w:val="225"/>
        </w:trPr>
        <w:tc>
          <w:tcPr>
            <w:tcW w:w="2035" w:type="pct"/>
            <w:tcBorders>
              <w:top w:val="single" w:sz="4" w:space="0" w:color="293F5B"/>
              <w:left w:val="nil"/>
              <w:bottom w:val="nil"/>
              <w:right w:val="nil"/>
            </w:tcBorders>
            <w:shd w:val="clear" w:color="auto" w:fill="auto"/>
            <w:noWrap/>
            <w:vAlign w:val="center"/>
            <w:hideMark/>
          </w:tcPr>
          <w:p w14:paraId="6D3F127D" w14:textId="412E879D" w:rsidR="00207E57" w:rsidRPr="00966BD4" w:rsidRDefault="00207E57" w:rsidP="00207E57">
            <w:pPr>
              <w:jc w:val="both"/>
              <w:rPr>
                <w:rFonts w:ascii="Arial" w:hAnsi="Arial" w:cs="Arial"/>
                <w:sz w:val="16"/>
                <w:szCs w:val="16"/>
              </w:rPr>
            </w:pPr>
            <w:r w:rsidRPr="00966BD4">
              <w:rPr>
                <w:rFonts w:ascii="Arial" w:hAnsi="Arial" w:cs="Arial"/>
                <w:sz w:val="16"/>
                <w:szCs w:val="16"/>
              </w:rPr>
              <w:t> </w:t>
            </w:r>
          </w:p>
        </w:tc>
        <w:tc>
          <w:tcPr>
            <w:tcW w:w="2367" w:type="pct"/>
            <w:gridSpan w:val="5"/>
            <w:tcBorders>
              <w:top w:val="single" w:sz="4" w:space="0" w:color="293F5B"/>
              <w:left w:val="nil"/>
              <w:bottom w:val="single" w:sz="4" w:space="0" w:color="293F5B"/>
              <w:right w:val="nil"/>
            </w:tcBorders>
            <w:shd w:val="clear" w:color="000000" w:fill="FFFFFF"/>
            <w:noWrap/>
            <w:vAlign w:val="center"/>
            <w:hideMark/>
          </w:tcPr>
          <w:p w14:paraId="27B54683" w14:textId="77777777" w:rsidR="00207E57" w:rsidRPr="00966BD4" w:rsidRDefault="00207E57" w:rsidP="00207E57">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3" w:type="pct"/>
            <w:tcBorders>
              <w:top w:val="nil"/>
              <w:left w:val="nil"/>
              <w:bottom w:val="nil"/>
              <w:right w:val="nil"/>
            </w:tcBorders>
            <w:shd w:val="clear" w:color="000000" w:fill="FFFFFF"/>
            <w:noWrap/>
            <w:vAlign w:val="center"/>
            <w:hideMark/>
          </w:tcPr>
          <w:p w14:paraId="705EE83A"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single" w:sz="4" w:space="0" w:color="293F5B"/>
              <w:left w:val="nil"/>
              <w:bottom w:val="single" w:sz="4" w:space="0" w:color="293F5B"/>
              <w:right w:val="nil"/>
            </w:tcBorders>
            <w:shd w:val="clear" w:color="000000" w:fill="FFFFFF"/>
            <w:noWrap/>
            <w:vAlign w:val="center"/>
            <w:hideMark/>
          </w:tcPr>
          <w:p w14:paraId="03FFF4B5"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76495E1F" w14:textId="77777777" w:rsidTr="00207E57">
        <w:trPr>
          <w:divId w:val="293802899"/>
          <w:trHeight w:hRule="exact" w:val="225"/>
        </w:trPr>
        <w:tc>
          <w:tcPr>
            <w:tcW w:w="2035" w:type="pct"/>
            <w:tcBorders>
              <w:top w:val="nil"/>
              <w:left w:val="nil"/>
              <w:bottom w:val="nil"/>
              <w:right w:val="nil"/>
            </w:tcBorders>
            <w:shd w:val="clear" w:color="auto" w:fill="auto"/>
            <w:noWrap/>
            <w:vAlign w:val="center"/>
            <w:hideMark/>
          </w:tcPr>
          <w:p w14:paraId="07507740" w14:textId="77777777" w:rsidR="00207E57" w:rsidRPr="00966BD4" w:rsidRDefault="00207E57" w:rsidP="00207E57">
            <w:pPr>
              <w:spacing w:before="0" w:after="0" w:line="240" w:lineRule="auto"/>
              <w:rPr>
                <w:rFonts w:ascii="Arial" w:hAnsi="Arial" w:cs="Arial"/>
                <w:sz w:val="16"/>
                <w:szCs w:val="16"/>
              </w:rPr>
            </w:pPr>
          </w:p>
        </w:tc>
        <w:tc>
          <w:tcPr>
            <w:tcW w:w="473" w:type="pct"/>
            <w:tcBorders>
              <w:top w:val="nil"/>
              <w:left w:val="nil"/>
              <w:bottom w:val="nil"/>
              <w:right w:val="nil"/>
            </w:tcBorders>
            <w:shd w:val="clear" w:color="000000" w:fill="FFFFFF"/>
            <w:noWrap/>
            <w:vAlign w:val="center"/>
            <w:hideMark/>
          </w:tcPr>
          <w:p w14:paraId="34FB8162"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2022–23</w:t>
            </w:r>
          </w:p>
        </w:tc>
        <w:tc>
          <w:tcPr>
            <w:tcW w:w="473" w:type="pct"/>
            <w:tcBorders>
              <w:top w:val="nil"/>
              <w:left w:val="nil"/>
              <w:bottom w:val="nil"/>
              <w:right w:val="nil"/>
            </w:tcBorders>
            <w:shd w:val="clear" w:color="000000" w:fill="E6F2FF"/>
            <w:noWrap/>
            <w:vAlign w:val="center"/>
            <w:hideMark/>
          </w:tcPr>
          <w:p w14:paraId="2F9F49BF"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2023–24</w:t>
            </w:r>
          </w:p>
        </w:tc>
        <w:tc>
          <w:tcPr>
            <w:tcW w:w="473" w:type="pct"/>
            <w:tcBorders>
              <w:top w:val="nil"/>
              <w:left w:val="nil"/>
              <w:bottom w:val="nil"/>
              <w:right w:val="nil"/>
            </w:tcBorders>
            <w:shd w:val="clear" w:color="000000" w:fill="FFFFFF"/>
            <w:noWrap/>
            <w:vAlign w:val="center"/>
            <w:hideMark/>
          </w:tcPr>
          <w:p w14:paraId="0CDCE042"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2024–25</w:t>
            </w:r>
          </w:p>
        </w:tc>
        <w:tc>
          <w:tcPr>
            <w:tcW w:w="473" w:type="pct"/>
            <w:tcBorders>
              <w:top w:val="nil"/>
              <w:left w:val="nil"/>
              <w:bottom w:val="nil"/>
              <w:right w:val="nil"/>
            </w:tcBorders>
            <w:shd w:val="clear" w:color="000000" w:fill="FFFFFF"/>
            <w:noWrap/>
            <w:vAlign w:val="center"/>
            <w:hideMark/>
          </w:tcPr>
          <w:p w14:paraId="1093FC7A"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2025–26</w:t>
            </w:r>
          </w:p>
        </w:tc>
        <w:tc>
          <w:tcPr>
            <w:tcW w:w="473" w:type="pct"/>
            <w:tcBorders>
              <w:top w:val="nil"/>
              <w:left w:val="nil"/>
              <w:bottom w:val="nil"/>
              <w:right w:val="nil"/>
            </w:tcBorders>
            <w:shd w:val="clear" w:color="000000" w:fill="FFFFFF"/>
            <w:noWrap/>
            <w:vAlign w:val="center"/>
            <w:hideMark/>
          </w:tcPr>
          <w:p w14:paraId="18498626"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2026–27</w:t>
            </w:r>
          </w:p>
        </w:tc>
        <w:tc>
          <w:tcPr>
            <w:tcW w:w="53" w:type="pct"/>
            <w:tcBorders>
              <w:top w:val="nil"/>
              <w:left w:val="nil"/>
              <w:bottom w:val="nil"/>
              <w:right w:val="nil"/>
            </w:tcBorders>
            <w:shd w:val="clear" w:color="000000" w:fill="FFFFFF"/>
            <w:noWrap/>
            <w:vAlign w:val="center"/>
            <w:hideMark/>
          </w:tcPr>
          <w:p w14:paraId="57AC31A0"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03F8AE75"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Total</w:t>
            </w:r>
          </w:p>
        </w:tc>
      </w:tr>
      <w:tr w:rsidR="00207E57" w:rsidRPr="00966BD4" w14:paraId="7BC13F9F" w14:textId="77777777" w:rsidTr="00207E57">
        <w:trPr>
          <w:divId w:val="293802899"/>
          <w:trHeight w:hRule="exact" w:val="225"/>
        </w:trPr>
        <w:tc>
          <w:tcPr>
            <w:tcW w:w="2035" w:type="pct"/>
            <w:tcBorders>
              <w:top w:val="nil"/>
              <w:left w:val="nil"/>
              <w:bottom w:val="nil"/>
              <w:right w:val="nil"/>
            </w:tcBorders>
            <w:shd w:val="clear" w:color="auto" w:fill="auto"/>
            <w:noWrap/>
            <w:vAlign w:val="center"/>
            <w:hideMark/>
          </w:tcPr>
          <w:p w14:paraId="77ACBE20" w14:textId="77777777" w:rsidR="00207E57" w:rsidRPr="00966BD4" w:rsidRDefault="00207E57" w:rsidP="00207E57">
            <w:pPr>
              <w:spacing w:before="0" w:after="0" w:line="240" w:lineRule="auto"/>
              <w:jc w:val="right"/>
              <w:rPr>
                <w:rFonts w:ascii="Arial" w:hAnsi="Arial" w:cs="Arial"/>
                <w:sz w:val="16"/>
                <w:szCs w:val="16"/>
              </w:rPr>
            </w:pPr>
          </w:p>
        </w:tc>
        <w:tc>
          <w:tcPr>
            <w:tcW w:w="473" w:type="pct"/>
            <w:tcBorders>
              <w:top w:val="nil"/>
              <w:left w:val="nil"/>
              <w:bottom w:val="single" w:sz="4" w:space="0" w:color="293F5B"/>
              <w:right w:val="nil"/>
            </w:tcBorders>
            <w:shd w:val="clear" w:color="000000" w:fill="FFFFFF"/>
            <w:noWrap/>
            <w:vAlign w:val="center"/>
            <w:hideMark/>
          </w:tcPr>
          <w:p w14:paraId="3906BCFF"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c>
          <w:tcPr>
            <w:tcW w:w="473" w:type="pct"/>
            <w:tcBorders>
              <w:top w:val="nil"/>
              <w:left w:val="nil"/>
              <w:bottom w:val="single" w:sz="4" w:space="0" w:color="293F5B"/>
              <w:right w:val="nil"/>
            </w:tcBorders>
            <w:shd w:val="clear" w:color="000000" w:fill="E6F2FF"/>
            <w:noWrap/>
            <w:vAlign w:val="center"/>
            <w:hideMark/>
          </w:tcPr>
          <w:p w14:paraId="528D67B7"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c>
          <w:tcPr>
            <w:tcW w:w="473" w:type="pct"/>
            <w:tcBorders>
              <w:top w:val="nil"/>
              <w:left w:val="nil"/>
              <w:bottom w:val="single" w:sz="4" w:space="0" w:color="293F5B"/>
              <w:right w:val="nil"/>
            </w:tcBorders>
            <w:shd w:val="clear" w:color="000000" w:fill="FFFFFF"/>
            <w:noWrap/>
            <w:vAlign w:val="center"/>
            <w:hideMark/>
          </w:tcPr>
          <w:p w14:paraId="15D0B299"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c>
          <w:tcPr>
            <w:tcW w:w="473" w:type="pct"/>
            <w:tcBorders>
              <w:top w:val="nil"/>
              <w:left w:val="nil"/>
              <w:bottom w:val="single" w:sz="4" w:space="0" w:color="293F5B"/>
              <w:right w:val="nil"/>
            </w:tcBorders>
            <w:shd w:val="clear" w:color="000000" w:fill="FFFFFF"/>
            <w:noWrap/>
            <w:vAlign w:val="center"/>
            <w:hideMark/>
          </w:tcPr>
          <w:p w14:paraId="02604644"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c>
          <w:tcPr>
            <w:tcW w:w="473" w:type="pct"/>
            <w:tcBorders>
              <w:top w:val="nil"/>
              <w:left w:val="nil"/>
              <w:bottom w:val="single" w:sz="4" w:space="0" w:color="293F5B"/>
              <w:right w:val="nil"/>
            </w:tcBorders>
            <w:shd w:val="clear" w:color="000000" w:fill="FFFFFF"/>
            <w:noWrap/>
            <w:vAlign w:val="center"/>
            <w:hideMark/>
          </w:tcPr>
          <w:p w14:paraId="42745866"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c>
          <w:tcPr>
            <w:tcW w:w="53" w:type="pct"/>
            <w:tcBorders>
              <w:top w:val="nil"/>
              <w:left w:val="nil"/>
              <w:bottom w:val="nil"/>
              <w:right w:val="nil"/>
            </w:tcBorders>
            <w:shd w:val="clear" w:color="000000" w:fill="FFFFFF"/>
            <w:noWrap/>
            <w:vAlign w:val="center"/>
            <w:hideMark/>
          </w:tcPr>
          <w:p w14:paraId="047015A8"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single" w:sz="4" w:space="0" w:color="293F5B"/>
              <w:right w:val="nil"/>
            </w:tcBorders>
            <w:shd w:val="clear" w:color="000000" w:fill="FFFFFF"/>
            <w:noWrap/>
            <w:vAlign w:val="center"/>
            <w:hideMark/>
          </w:tcPr>
          <w:p w14:paraId="5AFB74EB"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$m</w:t>
            </w:r>
          </w:p>
        </w:tc>
      </w:tr>
      <w:tr w:rsidR="00207E57" w:rsidRPr="00966BD4" w14:paraId="4E47131F"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3FB2B850"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Revenue at 2022 PEFO</w:t>
            </w:r>
          </w:p>
        </w:tc>
        <w:tc>
          <w:tcPr>
            <w:tcW w:w="473" w:type="pct"/>
            <w:tcBorders>
              <w:top w:val="nil"/>
              <w:left w:val="nil"/>
              <w:bottom w:val="nil"/>
              <w:right w:val="nil"/>
            </w:tcBorders>
            <w:shd w:val="clear" w:color="000000" w:fill="FFFFFF"/>
            <w:noWrap/>
            <w:vAlign w:val="center"/>
            <w:hideMark/>
          </w:tcPr>
          <w:p w14:paraId="4655B126"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561,848</w:t>
            </w:r>
          </w:p>
        </w:tc>
        <w:tc>
          <w:tcPr>
            <w:tcW w:w="473" w:type="pct"/>
            <w:tcBorders>
              <w:top w:val="nil"/>
              <w:left w:val="nil"/>
              <w:bottom w:val="nil"/>
              <w:right w:val="nil"/>
            </w:tcBorders>
            <w:shd w:val="clear" w:color="000000" w:fill="E6F2FF"/>
            <w:noWrap/>
            <w:vAlign w:val="center"/>
            <w:hideMark/>
          </w:tcPr>
          <w:p w14:paraId="6079E1B5"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595,641</w:t>
            </w:r>
          </w:p>
        </w:tc>
        <w:tc>
          <w:tcPr>
            <w:tcW w:w="473" w:type="pct"/>
            <w:tcBorders>
              <w:top w:val="nil"/>
              <w:left w:val="nil"/>
              <w:bottom w:val="nil"/>
              <w:right w:val="nil"/>
            </w:tcBorders>
            <w:shd w:val="clear" w:color="000000" w:fill="FFFFFF"/>
            <w:noWrap/>
            <w:vAlign w:val="center"/>
            <w:hideMark/>
          </w:tcPr>
          <w:p w14:paraId="3ED4D3F7"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621,687</w:t>
            </w:r>
          </w:p>
        </w:tc>
        <w:tc>
          <w:tcPr>
            <w:tcW w:w="473" w:type="pct"/>
            <w:tcBorders>
              <w:top w:val="nil"/>
              <w:left w:val="nil"/>
              <w:bottom w:val="nil"/>
              <w:right w:val="nil"/>
            </w:tcBorders>
            <w:shd w:val="clear" w:color="000000" w:fill="FFFFFF"/>
            <w:noWrap/>
            <w:vAlign w:val="center"/>
            <w:hideMark/>
          </w:tcPr>
          <w:p w14:paraId="05D48433"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655,232</w:t>
            </w:r>
          </w:p>
        </w:tc>
        <w:tc>
          <w:tcPr>
            <w:tcW w:w="473" w:type="pct"/>
            <w:tcBorders>
              <w:top w:val="nil"/>
              <w:left w:val="nil"/>
              <w:bottom w:val="nil"/>
              <w:right w:val="nil"/>
            </w:tcBorders>
            <w:shd w:val="clear" w:color="000000" w:fill="FFFFFF"/>
            <w:noWrap/>
            <w:vAlign w:val="center"/>
            <w:hideMark/>
          </w:tcPr>
          <w:p w14:paraId="44E0475C"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3" w:type="pct"/>
            <w:tcBorders>
              <w:top w:val="nil"/>
              <w:left w:val="nil"/>
              <w:bottom w:val="nil"/>
              <w:right w:val="nil"/>
            </w:tcBorders>
            <w:shd w:val="clear" w:color="000000" w:fill="FFFFFF"/>
            <w:noWrap/>
            <w:vAlign w:val="center"/>
            <w:hideMark/>
          </w:tcPr>
          <w:p w14:paraId="6B1E5C0D"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545" w:type="pct"/>
            <w:tcBorders>
              <w:top w:val="nil"/>
              <w:left w:val="nil"/>
              <w:bottom w:val="nil"/>
              <w:right w:val="nil"/>
            </w:tcBorders>
            <w:shd w:val="clear" w:color="000000" w:fill="FFFFFF"/>
            <w:noWrap/>
            <w:vAlign w:val="center"/>
            <w:hideMark/>
          </w:tcPr>
          <w:p w14:paraId="06BE5171"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207E57" w:rsidRPr="00966BD4" w14:paraId="1E92D24E" w14:textId="77777777" w:rsidTr="00207E57">
        <w:trPr>
          <w:divId w:val="293802899"/>
          <w:trHeight w:hRule="exact" w:val="60"/>
        </w:trPr>
        <w:tc>
          <w:tcPr>
            <w:tcW w:w="2035" w:type="pct"/>
            <w:tcBorders>
              <w:top w:val="nil"/>
              <w:left w:val="nil"/>
              <w:bottom w:val="nil"/>
              <w:right w:val="nil"/>
            </w:tcBorders>
            <w:shd w:val="clear" w:color="auto" w:fill="auto"/>
            <w:vAlign w:val="center"/>
            <w:hideMark/>
          </w:tcPr>
          <w:p w14:paraId="17B57983" w14:textId="77777777" w:rsidR="00207E57" w:rsidRPr="00966BD4" w:rsidRDefault="00207E57" w:rsidP="00207E57">
            <w:pPr>
              <w:spacing w:before="0" w:after="0" w:line="240" w:lineRule="auto"/>
              <w:jc w:val="right"/>
              <w:rPr>
                <w:rFonts w:ascii="Arial" w:hAnsi="Arial" w:cs="Arial"/>
                <w:b/>
                <w:bCs/>
                <w:sz w:val="16"/>
                <w:szCs w:val="16"/>
              </w:rPr>
            </w:pPr>
          </w:p>
        </w:tc>
        <w:tc>
          <w:tcPr>
            <w:tcW w:w="473" w:type="pct"/>
            <w:tcBorders>
              <w:top w:val="nil"/>
              <w:left w:val="nil"/>
              <w:bottom w:val="nil"/>
              <w:right w:val="nil"/>
            </w:tcBorders>
            <w:shd w:val="clear" w:color="000000" w:fill="FFFFFF"/>
            <w:noWrap/>
            <w:vAlign w:val="center"/>
            <w:hideMark/>
          </w:tcPr>
          <w:p w14:paraId="280343A0"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E6F2FF"/>
            <w:noWrap/>
            <w:vAlign w:val="center"/>
            <w:hideMark/>
          </w:tcPr>
          <w:p w14:paraId="20460AF9"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A1FAEA0"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6C7B047E"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466843D8"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3" w:type="pct"/>
            <w:tcBorders>
              <w:top w:val="nil"/>
              <w:left w:val="nil"/>
              <w:bottom w:val="nil"/>
              <w:right w:val="nil"/>
            </w:tcBorders>
            <w:shd w:val="clear" w:color="000000" w:fill="FFFFFF"/>
            <w:noWrap/>
            <w:vAlign w:val="center"/>
            <w:hideMark/>
          </w:tcPr>
          <w:p w14:paraId="28FF88DE"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6E32667E"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1AEEB165"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019ACEC9"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 xml:space="preserve">Changes from 2022 PEFO to </w:t>
            </w:r>
          </w:p>
        </w:tc>
        <w:tc>
          <w:tcPr>
            <w:tcW w:w="473" w:type="pct"/>
            <w:tcBorders>
              <w:top w:val="nil"/>
              <w:left w:val="nil"/>
              <w:bottom w:val="nil"/>
              <w:right w:val="nil"/>
            </w:tcBorders>
            <w:shd w:val="clear" w:color="000000" w:fill="FFFFFF"/>
            <w:noWrap/>
            <w:vAlign w:val="center"/>
            <w:hideMark/>
          </w:tcPr>
          <w:p w14:paraId="2AFB9D55"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E6F2FF"/>
            <w:noWrap/>
            <w:vAlign w:val="center"/>
            <w:hideMark/>
          </w:tcPr>
          <w:p w14:paraId="11CF9515"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6397056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3B64C05"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738F1BA7"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3" w:type="pct"/>
            <w:tcBorders>
              <w:top w:val="nil"/>
              <w:left w:val="nil"/>
              <w:bottom w:val="nil"/>
              <w:right w:val="nil"/>
            </w:tcBorders>
            <w:shd w:val="clear" w:color="000000" w:fill="FFFFFF"/>
            <w:noWrap/>
            <w:vAlign w:val="center"/>
            <w:hideMark/>
          </w:tcPr>
          <w:p w14:paraId="5424CC94"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22C92DCC"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523E4F3F"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521831B4" w14:textId="77777777" w:rsidR="00207E57" w:rsidRPr="00966BD4" w:rsidRDefault="00207E57" w:rsidP="00207E57">
            <w:pPr>
              <w:spacing w:before="0" w:after="0" w:line="240" w:lineRule="auto"/>
              <w:ind w:left="170"/>
              <w:rPr>
                <w:rFonts w:ascii="Arial" w:hAnsi="Arial" w:cs="Arial"/>
                <w:b/>
                <w:bCs/>
                <w:sz w:val="16"/>
                <w:szCs w:val="16"/>
              </w:rPr>
            </w:pPr>
            <w:r w:rsidRPr="00966BD4">
              <w:rPr>
                <w:rFonts w:ascii="Arial" w:hAnsi="Arial" w:cs="Arial"/>
                <w:b/>
                <w:bCs/>
                <w:sz w:val="16"/>
                <w:szCs w:val="16"/>
              </w:rPr>
              <w:t>2022–23 October Budget</w:t>
            </w:r>
          </w:p>
        </w:tc>
        <w:tc>
          <w:tcPr>
            <w:tcW w:w="473" w:type="pct"/>
            <w:tcBorders>
              <w:top w:val="nil"/>
              <w:left w:val="nil"/>
              <w:bottom w:val="nil"/>
              <w:right w:val="nil"/>
            </w:tcBorders>
            <w:shd w:val="clear" w:color="000000" w:fill="FFFFFF"/>
            <w:noWrap/>
            <w:vAlign w:val="center"/>
            <w:hideMark/>
          </w:tcPr>
          <w:p w14:paraId="0537A135"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E6F2FF"/>
            <w:noWrap/>
            <w:vAlign w:val="center"/>
            <w:hideMark/>
          </w:tcPr>
          <w:p w14:paraId="4230276D"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4C654AC7"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64F28763"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4740CBAA"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53" w:type="pct"/>
            <w:tcBorders>
              <w:top w:val="nil"/>
              <w:left w:val="nil"/>
              <w:bottom w:val="nil"/>
              <w:right w:val="nil"/>
            </w:tcBorders>
            <w:shd w:val="clear" w:color="000000" w:fill="FFFFFF"/>
            <w:noWrap/>
            <w:vAlign w:val="center"/>
            <w:hideMark/>
          </w:tcPr>
          <w:p w14:paraId="1BD20569"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545" w:type="pct"/>
            <w:tcBorders>
              <w:top w:val="nil"/>
              <w:left w:val="nil"/>
              <w:bottom w:val="nil"/>
              <w:right w:val="nil"/>
            </w:tcBorders>
            <w:shd w:val="clear" w:color="000000" w:fill="FFFFFF"/>
            <w:noWrap/>
            <w:vAlign w:val="center"/>
            <w:hideMark/>
          </w:tcPr>
          <w:p w14:paraId="6326600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0723265F"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3B72FCE7"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Effect of policy decisions(a)</w:t>
            </w:r>
          </w:p>
        </w:tc>
        <w:tc>
          <w:tcPr>
            <w:tcW w:w="473" w:type="pct"/>
            <w:tcBorders>
              <w:top w:val="nil"/>
              <w:left w:val="nil"/>
              <w:bottom w:val="nil"/>
              <w:right w:val="nil"/>
            </w:tcBorders>
            <w:shd w:val="clear" w:color="000000" w:fill="FFFFFF"/>
            <w:noWrap/>
            <w:vAlign w:val="center"/>
            <w:hideMark/>
          </w:tcPr>
          <w:p w14:paraId="455CFBAA"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1,766</w:t>
            </w:r>
          </w:p>
        </w:tc>
        <w:tc>
          <w:tcPr>
            <w:tcW w:w="473" w:type="pct"/>
            <w:tcBorders>
              <w:top w:val="nil"/>
              <w:left w:val="nil"/>
              <w:bottom w:val="nil"/>
              <w:right w:val="nil"/>
            </w:tcBorders>
            <w:shd w:val="clear" w:color="000000" w:fill="E6F2FF"/>
            <w:noWrap/>
            <w:vAlign w:val="center"/>
            <w:hideMark/>
          </w:tcPr>
          <w:p w14:paraId="1B2F891E"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3,156</w:t>
            </w:r>
          </w:p>
        </w:tc>
        <w:tc>
          <w:tcPr>
            <w:tcW w:w="473" w:type="pct"/>
            <w:tcBorders>
              <w:top w:val="nil"/>
              <w:left w:val="nil"/>
              <w:bottom w:val="nil"/>
              <w:right w:val="nil"/>
            </w:tcBorders>
            <w:shd w:val="clear" w:color="000000" w:fill="FFFFFF"/>
            <w:noWrap/>
            <w:vAlign w:val="center"/>
            <w:hideMark/>
          </w:tcPr>
          <w:p w14:paraId="09AC0E02"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4,364</w:t>
            </w:r>
          </w:p>
        </w:tc>
        <w:tc>
          <w:tcPr>
            <w:tcW w:w="473" w:type="pct"/>
            <w:tcBorders>
              <w:top w:val="nil"/>
              <w:left w:val="nil"/>
              <w:bottom w:val="nil"/>
              <w:right w:val="nil"/>
            </w:tcBorders>
            <w:shd w:val="clear" w:color="000000" w:fill="FFFFFF"/>
            <w:noWrap/>
            <w:vAlign w:val="center"/>
            <w:hideMark/>
          </w:tcPr>
          <w:p w14:paraId="28A2087E"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6,065</w:t>
            </w:r>
          </w:p>
        </w:tc>
        <w:tc>
          <w:tcPr>
            <w:tcW w:w="473" w:type="pct"/>
            <w:tcBorders>
              <w:top w:val="nil"/>
              <w:left w:val="nil"/>
              <w:bottom w:val="nil"/>
              <w:right w:val="nil"/>
            </w:tcBorders>
            <w:shd w:val="clear" w:color="000000" w:fill="FFFFFF"/>
            <w:noWrap/>
            <w:vAlign w:val="center"/>
            <w:hideMark/>
          </w:tcPr>
          <w:p w14:paraId="6B2C923A"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c>
          <w:tcPr>
            <w:tcW w:w="53" w:type="pct"/>
            <w:tcBorders>
              <w:top w:val="nil"/>
              <w:left w:val="nil"/>
              <w:bottom w:val="nil"/>
              <w:right w:val="nil"/>
            </w:tcBorders>
            <w:shd w:val="clear" w:color="000000" w:fill="FFFFFF"/>
            <w:noWrap/>
            <w:vAlign w:val="center"/>
            <w:hideMark/>
          </w:tcPr>
          <w:p w14:paraId="27F2ADB6"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23FEF5A9"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r>
      <w:tr w:rsidR="00207E57" w:rsidRPr="00966BD4" w14:paraId="5E2CAA0E"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6A83B30C"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Effect of parameter and other variations</w:t>
            </w:r>
          </w:p>
        </w:tc>
        <w:tc>
          <w:tcPr>
            <w:tcW w:w="473" w:type="pct"/>
            <w:tcBorders>
              <w:top w:val="nil"/>
              <w:left w:val="nil"/>
              <w:bottom w:val="single" w:sz="4" w:space="0" w:color="293F5B"/>
              <w:right w:val="nil"/>
            </w:tcBorders>
            <w:shd w:val="clear" w:color="000000" w:fill="FFFFFF"/>
            <w:noWrap/>
            <w:vAlign w:val="center"/>
            <w:hideMark/>
          </w:tcPr>
          <w:p w14:paraId="5978B776"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61,403</w:t>
            </w:r>
          </w:p>
        </w:tc>
        <w:tc>
          <w:tcPr>
            <w:tcW w:w="473" w:type="pct"/>
            <w:tcBorders>
              <w:top w:val="nil"/>
              <w:left w:val="nil"/>
              <w:bottom w:val="single" w:sz="4" w:space="0" w:color="293F5B"/>
              <w:right w:val="nil"/>
            </w:tcBorders>
            <w:shd w:val="clear" w:color="000000" w:fill="E6F2FF"/>
            <w:noWrap/>
            <w:vAlign w:val="center"/>
            <w:hideMark/>
          </w:tcPr>
          <w:p w14:paraId="07231D7C"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34,642</w:t>
            </w:r>
          </w:p>
        </w:tc>
        <w:tc>
          <w:tcPr>
            <w:tcW w:w="473" w:type="pct"/>
            <w:tcBorders>
              <w:top w:val="nil"/>
              <w:left w:val="nil"/>
              <w:bottom w:val="single" w:sz="4" w:space="0" w:color="293F5B"/>
              <w:right w:val="nil"/>
            </w:tcBorders>
            <w:shd w:val="clear" w:color="000000" w:fill="FFFFFF"/>
            <w:noWrap/>
            <w:vAlign w:val="center"/>
            <w:hideMark/>
          </w:tcPr>
          <w:p w14:paraId="692EDBEF"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23,040</w:t>
            </w:r>
          </w:p>
        </w:tc>
        <w:tc>
          <w:tcPr>
            <w:tcW w:w="473" w:type="pct"/>
            <w:tcBorders>
              <w:top w:val="nil"/>
              <w:left w:val="nil"/>
              <w:bottom w:val="single" w:sz="4" w:space="0" w:color="293F5B"/>
              <w:right w:val="nil"/>
            </w:tcBorders>
            <w:shd w:val="clear" w:color="000000" w:fill="FFFFFF"/>
            <w:noWrap/>
            <w:vAlign w:val="center"/>
            <w:hideMark/>
          </w:tcPr>
          <w:p w14:paraId="45B86160"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29,707</w:t>
            </w:r>
          </w:p>
        </w:tc>
        <w:tc>
          <w:tcPr>
            <w:tcW w:w="473" w:type="pct"/>
            <w:tcBorders>
              <w:top w:val="nil"/>
              <w:left w:val="nil"/>
              <w:bottom w:val="single" w:sz="4" w:space="0" w:color="293F5B"/>
              <w:right w:val="nil"/>
            </w:tcBorders>
            <w:shd w:val="clear" w:color="000000" w:fill="FFFFFF"/>
            <w:noWrap/>
            <w:vAlign w:val="center"/>
            <w:hideMark/>
          </w:tcPr>
          <w:p w14:paraId="4D7C7BE3"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c>
          <w:tcPr>
            <w:tcW w:w="53" w:type="pct"/>
            <w:tcBorders>
              <w:top w:val="nil"/>
              <w:left w:val="nil"/>
              <w:bottom w:val="nil"/>
              <w:right w:val="nil"/>
            </w:tcBorders>
            <w:shd w:val="clear" w:color="000000" w:fill="FFFFFF"/>
            <w:noWrap/>
            <w:vAlign w:val="center"/>
            <w:hideMark/>
          </w:tcPr>
          <w:p w14:paraId="3BA98F67"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72EF3762"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r>
      <w:tr w:rsidR="00207E57" w:rsidRPr="00966BD4" w14:paraId="3078F44F"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7284B3E0"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Total variations</w:t>
            </w:r>
          </w:p>
        </w:tc>
        <w:tc>
          <w:tcPr>
            <w:tcW w:w="473" w:type="pct"/>
            <w:tcBorders>
              <w:top w:val="nil"/>
              <w:left w:val="nil"/>
              <w:bottom w:val="single" w:sz="4" w:space="0" w:color="000000"/>
              <w:right w:val="nil"/>
            </w:tcBorders>
            <w:shd w:val="clear" w:color="000000" w:fill="FFFFFF"/>
            <w:noWrap/>
            <w:vAlign w:val="center"/>
            <w:hideMark/>
          </w:tcPr>
          <w:p w14:paraId="67F57B94"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63,168</w:t>
            </w:r>
          </w:p>
        </w:tc>
        <w:tc>
          <w:tcPr>
            <w:tcW w:w="473" w:type="pct"/>
            <w:tcBorders>
              <w:top w:val="nil"/>
              <w:left w:val="nil"/>
              <w:bottom w:val="single" w:sz="4" w:space="0" w:color="000000"/>
              <w:right w:val="nil"/>
            </w:tcBorders>
            <w:shd w:val="clear" w:color="000000" w:fill="E6F2FF"/>
            <w:noWrap/>
            <w:vAlign w:val="center"/>
            <w:hideMark/>
          </w:tcPr>
          <w:p w14:paraId="4F92C97C"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37,798</w:t>
            </w:r>
          </w:p>
        </w:tc>
        <w:tc>
          <w:tcPr>
            <w:tcW w:w="473" w:type="pct"/>
            <w:tcBorders>
              <w:top w:val="nil"/>
              <w:left w:val="nil"/>
              <w:bottom w:val="single" w:sz="4" w:space="0" w:color="000000"/>
              <w:right w:val="nil"/>
            </w:tcBorders>
            <w:shd w:val="clear" w:color="000000" w:fill="FFFFFF"/>
            <w:noWrap/>
            <w:vAlign w:val="center"/>
            <w:hideMark/>
          </w:tcPr>
          <w:p w14:paraId="4D488964"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27,403</w:t>
            </w:r>
          </w:p>
        </w:tc>
        <w:tc>
          <w:tcPr>
            <w:tcW w:w="473" w:type="pct"/>
            <w:tcBorders>
              <w:top w:val="nil"/>
              <w:left w:val="nil"/>
              <w:bottom w:val="single" w:sz="4" w:space="0" w:color="000000"/>
              <w:right w:val="nil"/>
            </w:tcBorders>
            <w:shd w:val="clear" w:color="000000" w:fill="FFFFFF"/>
            <w:noWrap/>
            <w:vAlign w:val="center"/>
            <w:hideMark/>
          </w:tcPr>
          <w:p w14:paraId="72CB9804"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35,772</w:t>
            </w:r>
          </w:p>
        </w:tc>
        <w:tc>
          <w:tcPr>
            <w:tcW w:w="473" w:type="pct"/>
            <w:tcBorders>
              <w:top w:val="nil"/>
              <w:left w:val="nil"/>
              <w:bottom w:val="single" w:sz="4" w:space="0" w:color="000000"/>
              <w:right w:val="nil"/>
            </w:tcBorders>
            <w:shd w:val="clear" w:color="000000" w:fill="FFFFFF"/>
            <w:noWrap/>
            <w:vAlign w:val="center"/>
            <w:hideMark/>
          </w:tcPr>
          <w:p w14:paraId="0793D7BA"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3" w:type="pct"/>
            <w:tcBorders>
              <w:top w:val="nil"/>
              <w:left w:val="nil"/>
              <w:bottom w:val="nil"/>
              <w:right w:val="nil"/>
            </w:tcBorders>
            <w:shd w:val="clear" w:color="000000" w:fill="FFFFFF"/>
            <w:noWrap/>
            <w:vAlign w:val="center"/>
            <w:hideMark/>
          </w:tcPr>
          <w:p w14:paraId="4DC7C13A"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545" w:type="pct"/>
            <w:tcBorders>
              <w:top w:val="single" w:sz="4" w:space="0" w:color="293F5B"/>
              <w:left w:val="nil"/>
              <w:bottom w:val="single" w:sz="4" w:space="0" w:color="auto"/>
              <w:right w:val="nil"/>
            </w:tcBorders>
            <w:shd w:val="clear" w:color="000000" w:fill="FFFFFF"/>
            <w:noWrap/>
            <w:vAlign w:val="center"/>
            <w:hideMark/>
          </w:tcPr>
          <w:p w14:paraId="034CB2EE"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207E57" w:rsidRPr="00966BD4" w14:paraId="0A7D129C"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2B4135BF"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Revenue at 2022–23 October Budget</w:t>
            </w:r>
          </w:p>
        </w:tc>
        <w:tc>
          <w:tcPr>
            <w:tcW w:w="473" w:type="pct"/>
            <w:tcBorders>
              <w:top w:val="single" w:sz="4" w:space="0" w:color="293F5B"/>
              <w:left w:val="nil"/>
              <w:bottom w:val="nil"/>
              <w:right w:val="nil"/>
            </w:tcBorders>
            <w:shd w:val="clear" w:color="000000" w:fill="FFFFFF"/>
            <w:noWrap/>
            <w:vAlign w:val="center"/>
            <w:hideMark/>
          </w:tcPr>
          <w:p w14:paraId="7FB7AFF5"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625,016</w:t>
            </w:r>
          </w:p>
        </w:tc>
        <w:tc>
          <w:tcPr>
            <w:tcW w:w="473" w:type="pct"/>
            <w:tcBorders>
              <w:top w:val="single" w:sz="4" w:space="0" w:color="293F5B"/>
              <w:left w:val="nil"/>
              <w:bottom w:val="nil"/>
              <w:right w:val="nil"/>
            </w:tcBorders>
            <w:shd w:val="clear" w:color="000000" w:fill="E6F2FF"/>
            <w:noWrap/>
            <w:vAlign w:val="center"/>
            <w:hideMark/>
          </w:tcPr>
          <w:p w14:paraId="44E64676"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633,439</w:t>
            </w:r>
          </w:p>
        </w:tc>
        <w:tc>
          <w:tcPr>
            <w:tcW w:w="473" w:type="pct"/>
            <w:tcBorders>
              <w:top w:val="single" w:sz="4" w:space="0" w:color="293F5B"/>
              <w:left w:val="nil"/>
              <w:bottom w:val="nil"/>
              <w:right w:val="nil"/>
            </w:tcBorders>
            <w:shd w:val="clear" w:color="000000" w:fill="FFFFFF"/>
            <w:noWrap/>
            <w:vAlign w:val="center"/>
            <w:hideMark/>
          </w:tcPr>
          <w:p w14:paraId="5129EB77"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649,091</w:t>
            </w:r>
          </w:p>
        </w:tc>
        <w:tc>
          <w:tcPr>
            <w:tcW w:w="473" w:type="pct"/>
            <w:tcBorders>
              <w:top w:val="single" w:sz="4" w:space="0" w:color="293F5B"/>
              <w:left w:val="nil"/>
              <w:bottom w:val="nil"/>
              <w:right w:val="nil"/>
            </w:tcBorders>
            <w:shd w:val="clear" w:color="000000" w:fill="FFFFFF"/>
            <w:noWrap/>
            <w:vAlign w:val="center"/>
            <w:hideMark/>
          </w:tcPr>
          <w:p w14:paraId="503B22D3"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691,004</w:t>
            </w:r>
          </w:p>
        </w:tc>
        <w:tc>
          <w:tcPr>
            <w:tcW w:w="473" w:type="pct"/>
            <w:tcBorders>
              <w:top w:val="single" w:sz="4" w:space="0" w:color="293F5B"/>
              <w:left w:val="nil"/>
              <w:bottom w:val="nil"/>
              <w:right w:val="nil"/>
            </w:tcBorders>
            <w:shd w:val="clear" w:color="000000" w:fill="FFFFFF"/>
            <w:noWrap/>
            <w:vAlign w:val="center"/>
            <w:hideMark/>
          </w:tcPr>
          <w:p w14:paraId="07B3D664"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3" w:type="pct"/>
            <w:tcBorders>
              <w:top w:val="nil"/>
              <w:left w:val="nil"/>
              <w:bottom w:val="nil"/>
              <w:right w:val="nil"/>
            </w:tcBorders>
            <w:shd w:val="clear" w:color="000000" w:fill="FFFFFF"/>
            <w:noWrap/>
            <w:vAlign w:val="center"/>
            <w:hideMark/>
          </w:tcPr>
          <w:p w14:paraId="193476B9"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545" w:type="pct"/>
            <w:tcBorders>
              <w:top w:val="single" w:sz="4" w:space="0" w:color="293F5B"/>
              <w:left w:val="nil"/>
              <w:bottom w:val="nil"/>
              <w:right w:val="nil"/>
            </w:tcBorders>
            <w:shd w:val="clear" w:color="000000" w:fill="FFFFFF"/>
            <w:noWrap/>
            <w:vAlign w:val="center"/>
            <w:hideMark/>
          </w:tcPr>
          <w:p w14:paraId="0CBB5A1F"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207E57" w:rsidRPr="00966BD4" w14:paraId="4FBF090F" w14:textId="77777777" w:rsidTr="00207E57">
        <w:trPr>
          <w:divId w:val="293802899"/>
          <w:trHeight w:hRule="exact" w:val="60"/>
        </w:trPr>
        <w:tc>
          <w:tcPr>
            <w:tcW w:w="2035" w:type="pct"/>
            <w:tcBorders>
              <w:top w:val="nil"/>
              <w:left w:val="nil"/>
              <w:bottom w:val="nil"/>
              <w:right w:val="nil"/>
            </w:tcBorders>
            <w:shd w:val="clear" w:color="auto" w:fill="auto"/>
            <w:vAlign w:val="center"/>
            <w:hideMark/>
          </w:tcPr>
          <w:p w14:paraId="7B3F98C0" w14:textId="77777777" w:rsidR="00207E57" w:rsidRPr="00966BD4" w:rsidRDefault="00207E57" w:rsidP="00207E57">
            <w:pPr>
              <w:spacing w:before="0" w:after="0" w:line="240" w:lineRule="auto"/>
              <w:jc w:val="right"/>
              <w:rPr>
                <w:rFonts w:ascii="Arial" w:hAnsi="Arial" w:cs="Arial"/>
                <w:b/>
                <w:bCs/>
                <w:sz w:val="16"/>
                <w:szCs w:val="16"/>
              </w:rPr>
            </w:pPr>
          </w:p>
        </w:tc>
        <w:tc>
          <w:tcPr>
            <w:tcW w:w="473" w:type="pct"/>
            <w:tcBorders>
              <w:top w:val="nil"/>
              <w:left w:val="nil"/>
              <w:bottom w:val="nil"/>
              <w:right w:val="nil"/>
            </w:tcBorders>
            <w:shd w:val="clear" w:color="000000" w:fill="FFFFFF"/>
            <w:noWrap/>
            <w:vAlign w:val="center"/>
            <w:hideMark/>
          </w:tcPr>
          <w:p w14:paraId="51D3F2CA"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E6F2FF"/>
            <w:noWrap/>
            <w:vAlign w:val="center"/>
            <w:hideMark/>
          </w:tcPr>
          <w:p w14:paraId="4B15FEBB"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25DA337D"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EF5F6EF"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7D0F155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3" w:type="pct"/>
            <w:tcBorders>
              <w:top w:val="nil"/>
              <w:left w:val="nil"/>
              <w:bottom w:val="nil"/>
              <w:right w:val="nil"/>
            </w:tcBorders>
            <w:shd w:val="clear" w:color="000000" w:fill="FFFFFF"/>
            <w:noWrap/>
            <w:vAlign w:val="center"/>
            <w:hideMark/>
          </w:tcPr>
          <w:p w14:paraId="46B1FD9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3559C3F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0366E3C1"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6ECB5EBC"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Changes from 2022–23 October Budget</w:t>
            </w:r>
          </w:p>
        </w:tc>
        <w:tc>
          <w:tcPr>
            <w:tcW w:w="473" w:type="pct"/>
            <w:tcBorders>
              <w:top w:val="nil"/>
              <w:left w:val="nil"/>
              <w:bottom w:val="nil"/>
              <w:right w:val="nil"/>
            </w:tcBorders>
            <w:shd w:val="clear" w:color="000000" w:fill="FFFFFF"/>
            <w:noWrap/>
            <w:vAlign w:val="center"/>
            <w:hideMark/>
          </w:tcPr>
          <w:p w14:paraId="0AFE4DC8"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E6F2FF"/>
            <w:noWrap/>
            <w:vAlign w:val="center"/>
            <w:hideMark/>
          </w:tcPr>
          <w:p w14:paraId="58FAB25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2497C444"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6D511B5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5B9228F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3" w:type="pct"/>
            <w:tcBorders>
              <w:top w:val="nil"/>
              <w:left w:val="nil"/>
              <w:bottom w:val="nil"/>
              <w:right w:val="nil"/>
            </w:tcBorders>
            <w:shd w:val="clear" w:color="000000" w:fill="FFFFFF"/>
            <w:noWrap/>
            <w:vAlign w:val="center"/>
            <w:hideMark/>
          </w:tcPr>
          <w:p w14:paraId="1139DE67"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7415CD0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26A114E6"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1D3C19BD" w14:textId="77777777" w:rsidR="00207E57" w:rsidRPr="00966BD4" w:rsidRDefault="00207E57" w:rsidP="00207E57">
            <w:pPr>
              <w:spacing w:before="0" w:after="0" w:line="240" w:lineRule="auto"/>
              <w:ind w:left="170"/>
              <w:rPr>
                <w:rFonts w:ascii="Arial" w:hAnsi="Arial" w:cs="Arial"/>
                <w:b/>
                <w:bCs/>
                <w:sz w:val="16"/>
                <w:szCs w:val="16"/>
              </w:rPr>
            </w:pPr>
            <w:r w:rsidRPr="00966BD4">
              <w:rPr>
                <w:rFonts w:ascii="Arial" w:hAnsi="Arial" w:cs="Arial"/>
                <w:b/>
                <w:bCs/>
                <w:sz w:val="16"/>
                <w:szCs w:val="16"/>
              </w:rPr>
              <w:t>to 2023–24 Budget</w:t>
            </w:r>
          </w:p>
        </w:tc>
        <w:tc>
          <w:tcPr>
            <w:tcW w:w="473" w:type="pct"/>
            <w:tcBorders>
              <w:top w:val="nil"/>
              <w:left w:val="nil"/>
              <w:bottom w:val="nil"/>
              <w:right w:val="nil"/>
            </w:tcBorders>
            <w:shd w:val="clear" w:color="000000" w:fill="FFFFFF"/>
            <w:noWrap/>
            <w:vAlign w:val="center"/>
            <w:hideMark/>
          </w:tcPr>
          <w:p w14:paraId="25B42B19"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E6F2FF"/>
            <w:noWrap/>
            <w:vAlign w:val="center"/>
            <w:hideMark/>
          </w:tcPr>
          <w:p w14:paraId="0BE623D8"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16F9CD12"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083CD67A"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473" w:type="pct"/>
            <w:tcBorders>
              <w:top w:val="nil"/>
              <w:left w:val="nil"/>
              <w:bottom w:val="nil"/>
              <w:right w:val="nil"/>
            </w:tcBorders>
            <w:shd w:val="clear" w:color="000000" w:fill="FFFFFF"/>
            <w:noWrap/>
            <w:vAlign w:val="center"/>
            <w:hideMark/>
          </w:tcPr>
          <w:p w14:paraId="20FCBCDF"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53" w:type="pct"/>
            <w:tcBorders>
              <w:top w:val="nil"/>
              <w:left w:val="nil"/>
              <w:bottom w:val="nil"/>
              <w:right w:val="nil"/>
            </w:tcBorders>
            <w:shd w:val="clear" w:color="000000" w:fill="FFFFFF"/>
            <w:noWrap/>
            <w:vAlign w:val="center"/>
            <w:hideMark/>
          </w:tcPr>
          <w:p w14:paraId="1AE6737B" w14:textId="77777777" w:rsidR="00207E57" w:rsidRPr="00966BD4" w:rsidRDefault="00207E57" w:rsidP="00207E57">
            <w:pPr>
              <w:spacing w:before="0" w:after="0" w:line="240" w:lineRule="auto"/>
              <w:rPr>
                <w:rFonts w:ascii="Arial" w:hAnsi="Arial" w:cs="Arial"/>
                <w:i/>
                <w:iCs/>
                <w:sz w:val="16"/>
                <w:szCs w:val="16"/>
              </w:rPr>
            </w:pPr>
            <w:r w:rsidRPr="00966BD4">
              <w:rPr>
                <w:rFonts w:ascii="Arial" w:hAnsi="Arial" w:cs="Arial"/>
                <w:i/>
                <w:iCs/>
                <w:sz w:val="16"/>
                <w:szCs w:val="16"/>
              </w:rPr>
              <w:t> </w:t>
            </w:r>
          </w:p>
        </w:tc>
        <w:tc>
          <w:tcPr>
            <w:tcW w:w="545" w:type="pct"/>
            <w:tcBorders>
              <w:top w:val="nil"/>
              <w:left w:val="nil"/>
              <w:bottom w:val="nil"/>
              <w:right w:val="nil"/>
            </w:tcBorders>
            <w:shd w:val="clear" w:color="000000" w:fill="FFFFFF"/>
            <w:noWrap/>
            <w:vAlign w:val="center"/>
            <w:hideMark/>
          </w:tcPr>
          <w:p w14:paraId="15E8FF9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76CDCC7C"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0CAB906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Effect of policy decisions(a)</w:t>
            </w:r>
          </w:p>
        </w:tc>
        <w:tc>
          <w:tcPr>
            <w:tcW w:w="473" w:type="pct"/>
            <w:tcBorders>
              <w:top w:val="nil"/>
              <w:left w:val="nil"/>
              <w:bottom w:val="nil"/>
              <w:right w:val="nil"/>
            </w:tcBorders>
            <w:shd w:val="clear" w:color="000000" w:fill="FFFFFF"/>
            <w:noWrap/>
            <w:vAlign w:val="center"/>
            <w:hideMark/>
          </w:tcPr>
          <w:p w14:paraId="2CCE7E08"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141</w:t>
            </w:r>
          </w:p>
        </w:tc>
        <w:tc>
          <w:tcPr>
            <w:tcW w:w="473" w:type="pct"/>
            <w:tcBorders>
              <w:top w:val="nil"/>
              <w:left w:val="nil"/>
              <w:bottom w:val="nil"/>
              <w:right w:val="nil"/>
            </w:tcBorders>
            <w:shd w:val="clear" w:color="000000" w:fill="E6F2FF"/>
            <w:noWrap/>
            <w:vAlign w:val="center"/>
            <w:hideMark/>
          </w:tcPr>
          <w:p w14:paraId="08C5B381"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1,525</w:t>
            </w:r>
          </w:p>
        </w:tc>
        <w:tc>
          <w:tcPr>
            <w:tcW w:w="473" w:type="pct"/>
            <w:tcBorders>
              <w:top w:val="nil"/>
              <w:left w:val="nil"/>
              <w:bottom w:val="nil"/>
              <w:right w:val="nil"/>
            </w:tcBorders>
            <w:shd w:val="clear" w:color="000000" w:fill="FFFFFF"/>
            <w:noWrap/>
            <w:vAlign w:val="center"/>
            <w:hideMark/>
          </w:tcPr>
          <w:p w14:paraId="238410FD"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4,722</w:t>
            </w:r>
          </w:p>
        </w:tc>
        <w:tc>
          <w:tcPr>
            <w:tcW w:w="473" w:type="pct"/>
            <w:tcBorders>
              <w:top w:val="nil"/>
              <w:left w:val="nil"/>
              <w:bottom w:val="nil"/>
              <w:right w:val="nil"/>
            </w:tcBorders>
            <w:shd w:val="clear" w:color="000000" w:fill="FFFFFF"/>
            <w:noWrap/>
            <w:vAlign w:val="center"/>
            <w:hideMark/>
          </w:tcPr>
          <w:p w14:paraId="1C8C8B6F"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5,890</w:t>
            </w:r>
          </w:p>
        </w:tc>
        <w:tc>
          <w:tcPr>
            <w:tcW w:w="473" w:type="pct"/>
            <w:tcBorders>
              <w:top w:val="nil"/>
              <w:left w:val="nil"/>
              <w:bottom w:val="nil"/>
              <w:right w:val="nil"/>
            </w:tcBorders>
            <w:shd w:val="clear" w:color="000000" w:fill="FFFFFF"/>
            <w:noWrap/>
            <w:vAlign w:val="center"/>
            <w:hideMark/>
          </w:tcPr>
          <w:p w14:paraId="56CDECC7"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7,619</w:t>
            </w:r>
          </w:p>
        </w:tc>
        <w:tc>
          <w:tcPr>
            <w:tcW w:w="53" w:type="pct"/>
            <w:tcBorders>
              <w:top w:val="nil"/>
              <w:left w:val="nil"/>
              <w:bottom w:val="nil"/>
              <w:right w:val="nil"/>
            </w:tcBorders>
            <w:shd w:val="clear" w:color="000000" w:fill="FFFFFF"/>
            <w:noWrap/>
            <w:vAlign w:val="center"/>
            <w:hideMark/>
          </w:tcPr>
          <w:p w14:paraId="350164C3"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118357D9"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19,897</w:t>
            </w:r>
          </w:p>
        </w:tc>
      </w:tr>
      <w:tr w:rsidR="00207E57" w:rsidRPr="00966BD4" w14:paraId="06EED1CE"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502ABB24"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Effect of parameter and other variations</w:t>
            </w:r>
          </w:p>
        </w:tc>
        <w:tc>
          <w:tcPr>
            <w:tcW w:w="473" w:type="pct"/>
            <w:tcBorders>
              <w:top w:val="nil"/>
              <w:left w:val="nil"/>
              <w:bottom w:val="single" w:sz="4" w:space="0" w:color="293F5B"/>
              <w:right w:val="nil"/>
            </w:tcBorders>
            <w:shd w:val="clear" w:color="000000" w:fill="FFFFFF"/>
            <w:noWrap/>
            <w:vAlign w:val="center"/>
            <w:hideMark/>
          </w:tcPr>
          <w:p w14:paraId="125A24EE"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28,609</w:t>
            </w:r>
          </w:p>
        </w:tc>
        <w:tc>
          <w:tcPr>
            <w:tcW w:w="473" w:type="pct"/>
            <w:tcBorders>
              <w:top w:val="nil"/>
              <w:left w:val="nil"/>
              <w:bottom w:val="single" w:sz="4" w:space="0" w:color="293F5B"/>
              <w:right w:val="nil"/>
            </w:tcBorders>
            <w:shd w:val="clear" w:color="000000" w:fill="E6F2FF"/>
            <w:noWrap/>
            <w:vAlign w:val="center"/>
            <w:hideMark/>
          </w:tcPr>
          <w:p w14:paraId="27477190"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45,408</w:t>
            </w:r>
          </w:p>
        </w:tc>
        <w:tc>
          <w:tcPr>
            <w:tcW w:w="473" w:type="pct"/>
            <w:tcBorders>
              <w:top w:val="nil"/>
              <w:left w:val="nil"/>
              <w:bottom w:val="single" w:sz="4" w:space="0" w:color="293F5B"/>
              <w:right w:val="nil"/>
            </w:tcBorders>
            <w:shd w:val="clear" w:color="000000" w:fill="FFFFFF"/>
            <w:noWrap/>
            <w:vAlign w:val="center"/>
            <w:hideMark/>
          </w:tcPr>
          <w:p w14:paraId="7ADC7681"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23,520</w:t>
            </w:r>
          </w:p>
        </w:tc>
        <w:tc>
          <w:tcPr>
            <w:tcW w:w="473" w:type="pct"/>
            <w:tcBorders>
              <w:top w:val="nil"/>
              <w:left w:val="nil"/>
              <w:bottom w:val="single" w:sz="4" w:space="0" w:color="293F5B"/>
              <w:right w:val="nil"/>
            </w:tcBorders>
            <w:shd w:val="clear" w:color="000000" w:fill="FFFFFF"/>
            <w:noWrap/>
            <w:vAlign w:val="center"/>
            <w:hideMark/>
          </w:tcPr>
          <w:p w14:paraId="76BB20DB"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16,844</w:t>
            </w:r>
          </w:p>
        </w:tc>
        <w:tc>
          <w:tcPr>
            <w:tcW w:w="473" w:type="pct"/>
            <w:tcBorders>
              <w:top w:val="nil"/>
              <w:left w:val="nil"/>
              <w:bottom w:val="single" w:sz="4" w:space="0" w:color="293F5B"/>
              <w:right w:val="nil"/>
            </w:tcBorders>
            <w:shd w:val="clear" w:color="000000" w:fill="FFFFFF"/>
            <w:noWrap/>
            <w:vAlign w:val="center"/>
            <w:hideMark/>
          </w:tcPr>
          <w:p w14:paraId="03E86447"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c>
          <w:tcPr>
            <w:tcW w:w="53" w:type="pct"/>
            <w:tcBorders>
              <w:top w:val="nil"/>
              <w:left w:val="nil"/>
              <w:bottom w:val="nil"/>
              <w:right w:val="nil"/>
            </w:tcBorders>
            <w:shd w:val="clear" w:color="000000" w:fill="FFFFFF"/>
            <w:noWrap/>
            <w:vAlign w:val="center"/>
            <w:hideMark/>
          </w:tcPr>
          <w:p w14:paraId="055BAEDF"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 </w:t>
            </w:r>
          </w:p>
        </w:tc>
        <w:tc>
          <w:tcPr>
            <w:tcW w:w="545" w:type="pct"/>
            <w:tcBorders>
              <w:top w:val="nil"/>
              <w:left w:val="nil"/>
              <w:bottom w:val="single" w:sz="4" w:space="0" w:color="293F5B"/>
              <w:right w:val="nil"/>
            </w:tcBorders>
            <w:shd w:val="clear" w:color="000000" w:fill="FFFFFF"/>
            <w:noWrap/>
            <w:vAlign w:val="center"/>
            <w:hideMark/>
          </w:tcPr>
          <w:p w14:paraId="29504188" w14:textId="77777777" w:rsidR="00207E57" w:rsidRPr="00966BD4" w:rsidRDefault="00207E57" w:rsidP="00207E57">
            <w:pPr>
              <w:spacing w:before="0" w:after="0" w:line="240" w:lineRule="auto"/>
              <w:jc w:val="right"/>
              <w:rPr>
                <w:rFonts w:ascii="Arial" w:hAnsi="Arial" w:cs="Arial"/>
                <w:sz w:val="16"/>
                <w:szCs w:val="16"/>
              </w:rPr>
            </w:pPr>
            <w:r w:rsidRPr="00966BD4">
              <w:rPr>
                <w:rFonts w:ascii="Arial" w:hAnsi="Arial" w:cs="Arial"/>
                <w:sz w:val="16"/>
                <w:szCs w:val="16"/>
              </w:rPr>
              <w:t>*</w:t>
            </w:r>
          </w:p>
        </w:tc>
      </w:tr>
      <w:tr w:rsidR="00207E57" w:rsidRPr="00966BD4" w14:paraId="5641A28D" w14:textId="77777777" w:rsidTr="00207E57">
        <w:trPr>
          <w:divId w:val="293802899"/>
          <w:trHeight w:hRule="exact" w:val="225"/>
        </w:trPr>
        <w:tc>
          <w:tcPr>
            <w:tcW w:w="2035" w:type="pct"/>
            <w:tcBorders>
              <w:top w:val="nil"/>
              <w:left w:val="nil"/>
              <w:bottom w:val="nil"/>
              <w:right w:val="nil"/>
            </w:tcBorders>
            <w:shd w:val="clear" w:color="auto" w:fill="auto"/>
            <w:vAlign w:val="center"/>
            <w:hideMark/>
          </w:tcPr>
          <w:p w14:paraId="12F385AF"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Total variations</w:t>
            </w:r>
          </w:p>
        </w:tc>
        <w:tc>
          <w:tcPr>
            <w:tcW w:w="473" w:type="pct"/>
            <w:tcBorders>
              <w:top w:val="nil"/>
              <w:left w:val="nil"/>
              <w:bottom w:val="single" w:sz="4" w:space="0" w:color="293F5B"/>
              <w:right w:val="nil"/>
            </w:tcBorders>
            <w:shd w:val="clear" w:color="000000" w:fill="FFFFFF"/>
            <w:noWrap/>
            <w:vAlign w:val="center"/>
            <w:hideMark/>
          </w:tcPr>
          <w:p w14:paraId="235C46BE"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28,750</w:t>
            </w:r>
          </w:p>
        </w:tc>
        <w:tc>
          <w:tcPr>
            <w:tcW w:w="473" w:type="pct"/>
            <w:tcBorders>
              <w:top w:val="nil"/>
              <w:left w:val="nil"/>
              <w:bottom w:val="single" w:sz="4" w:space="0" w:color="293F5B"/>
              <w:right w:val="nil"/>
            </w:tcBorders>
            <w:shd w:val="clear" w:color="000000" w:fill="E6F2FF"/>
            <w:noWrap/>
            <w:vAlign w:val="center"/>
            <w:hideMark/>
          </w:tcPr>
          <w:p w14:paraId="2612BB65"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46,933</w:t>
            </w:r>
          </w:p>
        </w:tc>
        <w:tc>
          <w:tcPr>
            <w:tcW w:w="473" w:type="pct"/>
            <w:tcBorders>
              <w:top w:val="nil"/>
              <w:left w:val="nil"/>
              <w:bottom w:val="single" w:sz="4" w:space="0" w:color="293F5B"/>
              <w:right w:val="nil"/>
            </w:tcBorders>
            <w:shd w:val="clear" w:color="000000" w:fill="FFFFFF"/>
            <w:noWrap/>
            <w:vAlign w:val="center"/>
            <w:hideMark/>
          </w:tcPr>
          <w:p w14:paraId="37ABD966"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28,242</w:t>
            </w:r>
          </w:p>
        </w:tc>
        <w:tc>
          <w:tcPr>
            <w:tcW w:w="473" w:type="pct"/>
            <w:tcBorders>
              <w:top w:val="nil"/>
              <w:left w:val="nil"/>
              <w:bottom w:val="single" w:sz="4" w:space="0" w:color="293F5B"/>
              <w:right w:val="nil"/>
            </w:tcBorders>
            <w:shd w:val="clear" w:color="000000" w:fill="FFFFFF"/>
            <w:noWrap/>
            <w:vAlign w:val="center"/>
            <w:hideMark/>
          </w:tcPr>
          <w:p w14:paraId="56BFF160"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22,734</w:t>
            </w:r>
          </w:p>
        </w:tc>
        <w:tc>
          <w:tcPr>
            <w:tcW w:w="473" w:type="pct"/>
            <w:tcBorders>
              <w:top w:val="nil"/>
              <w:left w:val="nil"/>
              <w:bottom w:val="single" w:sz="4" w:space="0" w:color="293F5B"/>
              <w:right w:val="nil"/>
            </w:tcBorders>
            <w:shd w:val="clear" w:color="000000" w:fill="FFFFFF"/>
            <w:noWrap/>
            <w:vAlign w:val="center"/>
            <w:hideMark/>
          </w:tcPr>
          <w:p w14:paraId="1C9BC91E"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c>
          <w:tcPr>
            <w:tcW w:w="53" w:type="pct"/>
            <w:tcBorders>
              <w:top w:val="nil"/>
              <w:left w:val="nil"/>
              <w:bottom w:val="nil"/>
              <w:right w:val="nil"/>
            </w:tcBorders>
            <w:shd w:val="clear" w:color="000000" w:fill="FFFFFF"/>
            <w:noWrap/>
            <w:vAlign w:val="center"/>
            <w:hideMark/>
          </w:tcPr>
          <w:p w14:paraId="1F7F4430"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545" w:type="pct"/>
            <w:tcBorders>
              <w:top w:val="nil"/>
              <w:left w:val="nil"/>
              <w:bottom w:val="single" w:sz="4" w:space="0" w:color="293F5B"/>
              <w:right w:val="nil"/>
            </w:tcBorders>
            <w:shd w:val="clear" w:color="000000" w:fill="FFFFFF"/>
            <w:noWrap/>
            <w:vAlign w:val="center"/>
            <w:hideMark/>
          </w:tcPr>
          <w:p w14:paraId="7067B96E"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w:t>
            </w:r>
          </w:p>
        </w:tc>
      </w:tr>
      <w:tr w:rsidR="00207E57" w:rsidRPr="00966BD4" w14:paraId="5344057A" w14:textId="77777777" w:rsidTr="00207E57">
        <w:trPr>
          <w:divId w:val="293802899"/>
          <w:trHeight w:hRule="exact" w:val="60"/>
        </w:trPr>
        <w:tc>
          <w:tcPr>
            <w:tcW w:w="2035" w:type="pct"/>
            <w:tcBorders>
              <w:top w:val="nil"/>
              <w:left w:val="nil"/>
              <w:bottom w:val="nil"/>
              <w:right w:val="nil"/>
            </w:tcBorders>
            <w:shd w:val="clear" w:color="auto" w:fill="auto"/>
            <w:vAlign w:val="center"/>
            <w:hideMark/>
          </w:tcPr>
          <w:p w14:paraId="2F05E326" w14:textId="77777777" w:rsidR="00207E57" w:rsidRPr="00966BD4" w:rsidRDefault="00207E57" w:rsidP="00207E57">
            <w:pPr>
              <w:spacing w:before="0" w:after="0" w:line="240" w:lineRule="auto"/>
              <w:jc w:val="right"/>
              <w:rPr>
                <w:rFonts w:ascii="Arial" w:hAnsi="Arial" w:cs="Arial"/>
                <w:b/>
                <w:bCs/>
                <w:sz w:val="16"/>
                <w:szCs w:val="16"/>
              </w:rPr>
            </w:pPr>
          </w:p>
        </w:tc>
        <w:tc>
          <w:tcPr>
            <w:tcW w:w="473" w:type="pct"/>
            <w:tcBorders>
              <w:top w:val="nil"/>
              <w:left w:val="nil"/>
              <w:bottom w:val="nil"/>
              <w:right w:val="nil"/>
            </w:tcBorders>
            <w:shd w:val="clear" w:color="000000" w:fill="FFFFFF"/>
            <w:noWrap/>
            <w:vAlign w:val="center"/>
            <w:hideMark/>
          </w:tcPr>
          <w:p w14:paraId="0FE8002D"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E6F2FF"/>
            <w:noWrap/>
            <w:vAlign w:val="center"/>
            <w:hideMark/>
          </w:tcPr>
          <w:p w14:paraId="525B69E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17F9CB09"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64EEDA21"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A33173B"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3" w:type="pct"/>
            <w:tcBorders>
              <w:top w:val="nil"/>
              <w:left w:val="nil"/>
              <w:bottom w:val="nil"/>
              <w:right w:val="nil"/>
            </w:tcBorders>
            <w:shd w:val="clear" w:color="000000" w:fill="FFFFFF"/>
            <w:noWrap/>
            <w:vAlign w:val="center"/>
            <w:hideMark/>
          </w:tcPr>
          <w:p w14:paraId="550EF3D8"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c>
          <w:tcPr>
            <w:tcW w:w="545" w:type="pct"/>
            <w:tcBorders>
              <w:top w:val="nil"/>
              <w:left w:val="nil"/>
              <w:bottom w:val="nil"/>
              <w:right w:val="nil"/>
            </w:tcBorders>
            <w:shd w:val="clear" w:color="000000" w:fill="FFFFFF"/>
            <w:noWrap/>
            <w:vAlign w:val="center"/>
            <w:hideMark/>
          </w:tcPr>
          <w:p w14:paraId="39AD9543" w14:textId="77777777" w:rsidR="00207E57" w:rsidRPr="00966BD4" w:rsidRDefault="00207E57" w:rsidP="00207E57">
            <w:pPr>
              <w:spacing w:before="0" w:after="0" w:line="240" w:lineRule="auto"/>
              <w:rPr>
                <w:rFonts w:ascii="Arial" w:hAnsi="Arial" w:cs="Arial"/>
                <w:sz w:val="16"/>
                <w:szCs w:val="16"/>
              </w:rPr>
            </w:pPr>
            <w:r w:rsidRPr="00966BD4">
              <w:rPr>
                <w:rFonts w:ascii="Arial" w:hAnsi="Arial" w:cs="Arial"/>
                <w:sz w:val="16"/>
                <w:szCs w:val="16"/>
              </w:rPr>
              <w:t> </w:t>
            </w:r>
          </w:p>
        </w:tc>
      </w:tr>
      <w:tr w:rsidR="00207E57" w:rsidRPr="00966BD4" w14:paraId="1D661E32" w14:textId="77777777" w:rsidTr="00207E57">
        <w:trPr>
          <w:divId w:val="293802899"/>
          <w:trHeight w:hRule="exact" w:val="225"/>
        </w:trPr>
        <w:tc>
          <w:tcPr>
            <w:tcW w:w="2035" w:type="pct"/>
            <w:tcBorders>
              <w:top w:val="nil"/>
              <w:left w:val="nil"/>
              <w:bottom w:val="single" w:sz="4" w:space="0" w:color="293F5B"/>
              <w:right w:val="nil"/>
            </w:tcBorders>
            <w:shd w:val="clear" w:color="auto" w:fill="auto"/>
            <w:vAlign w:val="center"/>
            <w:hideMark/>
          </w:tcPr>
          <w:p w14:paraId="739306DD"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 xml:space="preserve">Revenue </w:t>
            </w:r>
            <w:proofErr w:type="gramStart"/>
            <w:r w:rsidRPr="00966BD4">
              <w:rPr>
                <w:rFonts w:ascii="Arial" w:hAnsi="Arial" w:cs="Arial"/>
                <w:b/>
                <w:bCs/>
                <w:sz w:val="16"/>
                <w:szCs w:val="16"/>
              </w:rPr>
              <w:t>at</w:t>
            </w:r>
            <w:proofErr w:type="gramEnd"/>
            <w:r w:rsidRPr="00966BD4">
              <w:rPr>
                <w:rFonts w:ascii="Arial" w:hAnsi="Arial" w:cs="Arial"/>
                <w:b/>
                <w:bCs/>
                <w:sz w:val="16"/>
                <w:szCs w:val="16"/>
              </w:rPr>
              <w:t xml:space="preserve"> 2023–24 Budget</w:t>
            </w:r>
          </w:p>
        </w:tc>
        <w:tc>
          <w:tcPr>
            <w:tcW w:w="473" w:type="pct"/>
            <w:tcBorders>
              <w:top w:val="nil"/>
              <w:left w:val="nil"/>
              <w:bottom w:val="single" w:sz="4" w:space="0" w:color="293F5B"/>
              <w:right w:val="nil"/>
            </w:tcBorders>
            <w:shd w:val="clear" w:color="000000" w:fill="FFFFFF"/>
            <w:noWrap/>
            <w:vAlign w:val="center"/>
            <w:hideMark/>
          </w:tcPr>
          <w:p w14:paraId="6A7B3B8D"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653,767</w:t>
            </w:r>
          </w:p>
        </w:tc>
        <w:tc>
          <w:tcPr>
            <w:tcW w:w="473" w:type="pct"/>
            <w:tcBorders>
              <w:top w:val="nil"/>
              <w:left w:val="nil"/>
              <w:bottom w:val="single" w:sz="4" w:space="0" w:color="293F5B"/>
              <w:right w:val="nil"/>
            </w:tcBorders>
            <w:shd w:val="clear" w:color="000000" w:fill="E6F2FF"/>
            <w:noWrap/>
            <w:vAlign w:val="center"/>
            <w:hideMark/>
          </w:tcPr>
          <w:p w14:paraId="14A88663"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680,372</w:t>
            </w:r>
          </w:p>
        </w:tc>
        <w:tc>
          <w:tcPr>
            <w:tcW w:w="473" w:type="pct"/>
            <w:tcBorders>
              <w:top w:val="nil"/>
              <w:left w:val="nil"/>
              <w:bottom w:val="single" w:sz="4" w:space="0" w:color="293F5B"/>
              <w:right w:val="nil"/>
            </w:tcBorders>
            <w:shd w:val="clear" w:color="000000" w:fill="FFFFFF"/>
            <w:noWrap/>
            <w:vAlign w:val="center"/>
            <w:hideMark/>
          </w:tcPr>
          <w:p w14:paraId="2038489A"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677,333</w:t>
            </w:r>
          </w:p>
        </w:tc>
        <w:tc>
          <w:tcPr>
            <w:tcW w:w="473" w:type="pct"/>
            <w:tcBorders>
              <w:top w:val="nil"/>
              <w:left w:val="nil"/>
              <w:bottom w:val="single" w:sz="4" w:space="0" w:color="293F5B"/>
              <w:right w:val="nil"/>
            </w:tcBorders>
            <w:shd w:val="clear" w:color="000000" w:fill="FFFFFF"/>
            <w:noWrap/>
            <w:vAlign w:val="center"/>
            <w:hideMark/>
          </w:tcPr>
          <w:p w14:paraId="2A45FE1C"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713,738</w:t>
            </w:r>
          </w:p>
        </w:tc>
        <w:tc>
          <w:tcPr>
            <w:tcW w:w="473" w:type="pct"/>
            <w:tcBorders>
              <w:top w:val="nil"/>
              <w:left w:val="nil"/>
              <w:bottom w:val="single" w:sz="4" w:space="0" w:color="293F5B"/>
              <w:right w:val="nil"/>
            </w:tcBorders>
            <w:shd w:val="clear" w:color="000000" w:fill="FFFFFF"/>
            <w:noWrap/>
            <w:vAlign w:val="center"/>
            <w:hideMark/>
          </w:tcPr>
          <w:p w14:paraId="5A323A8F"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748,237</w:t>
            </w:r>
          </w:p>
        </w:tc>
        <w:tc>
          <w:tcPr>
            <w:tcW w:w="53" w:type="pct"/>
            <w:tcBorders>
              <w:top w:val="nil"/>
              <w:left w:val="nil"/>
              <w:bottom w:val="single" w:sz="4" w:space="0" w:color="293F5B"/>
              <w:right w:val="nil"/>
            </w:tcBorders>
            <w:shd w:val="clear" w:color="000000" w:fill="FFFFFF"/>
            <w:noWrap/>
            <w:vAlign w:val="center"/>
            <w:hideMark/>
          </w:tcPr>
          <w:p w14:paraId="53FD573D" w14:textId="77777777" w:rsidR="00207E57" w:rsidRPr="00966BD4" w:rsidRDefault="00207E57" w:rsidP="00207E57">
            <w:pPr>
              <w:spacing w:before="0" w:after="0" w:line="240" w:lineRule="auto"/>
              <w:rPr>
                <w:rFonts w:ascii="Arial" w:hAnsi="Arial" w:cs="Arial"/>
                <w:b/>
                <w:bCs/>
                <w:sz w:val="16"/>
                <w:szCs w:val="16"/>
              </w:rPr>
            </w:pPr>
            <w:r w:rsidRPr="00966BD4">
              <w:rPr>
                <w:rFonts w:ascii="Arial" w:hAnsi="Arial" w:cs="Arial"/>
                <w:b/>
                <w:bCs/>
                <w:sz w:val="16"/>
                <w:szCs w:val="16"/>
              </w:rPr>
              <w:t> </w:t>
            </w:r>
          </w:p>
        </w:tc>
        <w:tc>
          <w:tcPr>
            <w:tcW w:w="545" w:type="pct"/>
            <w:tcBorders>
              <w:top w:val="nil"/>
              <w:left w:val="nil"/>
              <w:bottom w:val="single" w:sz="4" w:space="0" w:color="293F5B"/>
              <w:right w:val="nil"/>
            </w:tcBorders>
            <w:shd w:val="clear" w:color="000000" w:fill="FFFFFF"/>
            <w:noWrap/>
            <w:vAlign w:val="center"/>
            <w:hideMark/>
          </w:tcPr>
          <w:p w14:paraId="3908B074" w14:textId="77777777" w:rsidR="00207E57" w:rsidRPr="00966BD4" w:rsidRDefault="00207E57" w:rsidP="00207E57">
            <w:pPr>
              <w:spacing w:before="0" w:after="0" w:line="240" w:lineRule="auto"/>
              <w:jc w:val="right"/>
              <w:rPr>
                <w:rFonts w:ascii="Arial" w:hAnsi="Arial" w:cs="Arial"/>
                <w:b/>
                <w:bCs/>
                <w:sz w:val="16"/>
                <w:szCs w:val="16"/>
              </w:rPr>
            </w:pPr>
            <w:r w:rsidRPr="00966BD4">
              <w:rPr>
                <w:rFonts w:ascii="Arial" w:hAnsi="Arial" w:cs="Arial"/>
                <w:b/>
                <w:bCs/>
                <w:sz w:val="16"/>
                <w:szCs w:val="16"/>
              </w:rPr>
              <w:t>3,473,446</w:t>
            </w:r>
          </w:p>
        </w:tc>
      </w:tr>
    </w:tbl>
    <w:p w14:paraId="0B7F670E" w14:textId="5D1ED970" w:rsidR="00FF2C07" w:rsidRPr="00966BD4" w:rsidRDefault="00FF2C07" w:rsidP="00FF2C07">
      <w:pPr>
        <w:pStyle w:val="ChartandTableFootnoteAlpha"/>
        <w:numPr>
          <w:ilvl w:val="0"/>
          <w:numId w:val="0"/>
        </w:numPr>
        <w:ind w:left="284" w:hanging="284"/>
        <w:rPr>
          <w:color w:val="auto"/>
        </w:rPr>
      </w:pPr>
      <w:r w:rsidRPr="00966BD4">
        <w:rPr>
          <w:color w:val="auto"/>
        </w:rPr>
        <w:t>* Data is not available.</w:t>
      </w:r>
    </w:p>
    <w:p w14:paraId="3F17743D" w14:textId="3E61FB9D" w:rsidR="00D907F8" w:rsidRPr="00966BD4" w:rsidRDefault="00D907F8" w:rsidP="00F23850">
      <w:pPr>
        <w:pStyle w:val="ChartandTableFootnoteAlpha"/>
        <w:numPr>
          <w:ilvl w:val="0"/>
          <w:numId w:val="11"/>
        </w:numPr>
        <w:rPr>
          <w:color w:val="auto"/>
        </w:rPr>
      </w:pPr>
      <w:r w:rsidRPr="00966BD4">
        <w:rPr>
          <w:color w:val="auto"/>
        </w:rPr>
        <w:t>Excludes secondary impacts on public debt interest of policy decisions and offsets from the Contingency Reserve for decisions taken.</w:t>
      </w:r>
    </w:p>
    <w:p w14:paraId="01D31A40" w14:textId="77777777" w:rsidR="00D907F8" w:rsidRPr="00966BD4" w:rsidRDefault="00D907F8" w:rsidP="00774E24">
      <w:pPr>
        <w:pStyle w:val="TableLine"/>
      </w:pPr>
    </w:p>
    <w:p w14:paraId="1AA2A906" w14:textId="1A11680A" w:rsidR="00D907F8" w:rsidRPr="00966BD4" w:rsidRDefault="00D907F8" w:rsidP="00774E24">
      <w:r w:rsidRPr="00966BD4">
        <w:t xml:space="preserve">Since </w:t>
      </w:r>
      <w:r w:rsidR="00A336AC" w:rsidRPr="00966BD4">
        <w:t>the October Budget</w:t>
      </w:r>
      <w:r w:rsidRPr="00966BD4">
        <w:t>, total revenue has been revised up by $</w:t>
      </w:r>
      <w:r w:rsidR="00B74F0B" w:rsidRPr="00966BD4">
        <w:t>46.9</w:t>
      </w:r>
      <w:r w:rsidRPr="00966BD4">
        <w:t> billion in 202</w:t>
      </w:r>
      <w:r w:rsidR="00942825" w:rsidRPr="00966BD4">
        <w:t>3</w:t>
      </w:r>
      <w:r w:rsidRPr="00966BD4">
        <w:t>–2</w:t>
      </w:r>
      <w:r w:rsidR="00942825" w:rsidRPr="00966BD4">
        <w:t>4</w:t>
      </w:r>
      <w:r w:rsidRPr="00966BD4">
        <w:t xml:space="preserve"> and by $</w:t>
      </w:r>
      <w:r w:rsidR="009C1262" w:rsidRPr="00966BD4">
        <w:t>156.7</w:t>
      </w:r>
      <w:r w:rsidRPr="00966BD4">
        <w:t xml:space="preserve"> billion over the </w:t>
      </w:r>
      <w:r w:rsidR="00AB079B" w:rsidRPr="00966BD4">
        <w:t>5</w:t>
      </w:r>
      <w:r w:rsidRPr="00966BD4">
        <w:t xml:space="preserve"> years </w:t>
      </w:r>
      <w:r w:rsidR="004D144B" w:rsidRPr="00966BD4">
        <w:t>from 202</w:t>
      </w:r>
      <w:r w:rsidR="00825B55" w:rsidRPr="00966BD4">
        <w:t>2–2</w:t>
      </w:r>
      <w:r w:rsidR="004D144B" w:rsidRPr="00966BD4">
        <w:t xml:space="preserve">3 </w:t>
      </w:r>
      <w:r w:rsidRPr="00966BD4">
        <w:t>to 202</w:t>
      </w:r>
      <w:r w:rsidR="00942825" w:rsidRPr="00966BD4">
        <w:t>6</w:t>
      </w:r>
      <w:r w:rsidRPr="00966BD4">
        <w:t>–2</w:t>
      </w:r>
      <w:r w:rsidR="00942825" w:rsidRPr="00966BD4">
        <w:t>7</w:t>
      </w:r>
      <w:r w:rsidRPr="00966BD4">
        <w:t xml:space="preserve">. </w:t>
      </w:r>
    </w:p>
    <w:p w14:paraId="6D3AFF41" w14:textId="35A8805F" w:rsidR="00D907F8" w:rsidRPr="00966BD4" w:rsidRDefault="00D907F8" w:rsidP="00D925FC">
      <w:r w:rsidRPr="00966BD4">
        <w:t xml:space="preserve">The changes in the individual heads of revenue accrual estimates relative to </w:t>
      </w:r>
      <w:r w:rsidR="00942825" w:rsidRPr="00966BD4">
        <w:t>the October Budget</w:t>
      </w:r>
      <w:r w:rsidRPr="00966BD4">
        <w:t xml:space="preserve"> are shown in Tables 5.</w:t>
      </w:r>
      <w:r w:rsidR="002125ED" w:rsidRPr="00966BD4">
        <w:t>9</w:t>
      </w:r>
      <w:r w:rsidRPr="00966BD4">
        <w:t xml:space="preserve"> and 5.</w:t>
      </w:r>
      <w:r w:rsidR="002125ED" w:rsidRPr="00966BD4">
        <w:t>10</w:t>
      </w:r>
      <w:r w:rsidRPr="00966BD4">
        <w:t>, for 202</w:t>
      </w:r>
      <w:r w:rsidR="00825B55" w:rsidRPr="00966BD4">
        <w:t>2–2</w:t>
      </w:r>
      <w:r w:rsidR="004875F9" w:rsidRPr="00966BD4">
        <w:t>3</w:t>
      </w:r>
      <w:r w:rsidRPr="00966BD4">
        <w:t xml:space="preserve"> and </w:t>
      </w:r>
      <w:r w:rsidR="00825B55" w:rsidRPr="00966BD4">
        <w:t>2023–2</w:t>
      </w:r>
      <w:r w:rsidR="004875F9" w:rsidRPr="00966BD4">
        <w:t>4</w:t>
      </w:r>
      <w:r w:rsidRPr="00966BD4">
        <w:t>, respectively. For the 5</w:t>
      </w:r>
      <w:r w:rsidR="001B77CF">
        <w:noBreakHyphen/>
      </w:r>
      <w:r w:rsidRPr="00966BD4">
        <w:t>year accrual table, the accrual equivalent of Table 5.</w:t>
      </w:r>
      <w:r w:rsidR="002125ED" w:rsidRPr="00966BD4">
        <w:t>7</w:t>
      </w:r>
      <w:r w:rsidRPr="00966BD4">
        <w:t>, see Budget Statement </w:t>
      </w:r>
      <w:r w:rsidR="002125ED" w:rsidRPr="00966BD4">
        <w:t>10</w:t>
      </w:r>
      <w:r w:rsidRPr="00966BD4">
        <w:t>, Note </w:t>
      </w:r>
      <w:r w:rsidR="00D8491A" w:rsidRPr="00966BD4">
        <w:t>3</w:t>
      </w:r>
      <w:r w:rsidRPr="00966BD4">
        <w:t>.</w:t>
      </w:r>
    </w:p>
    <w:p w14:paraId="0B5F5AAD" w14:textId="3133569E" w:rsidR="0007328E" w:rsidRPr="00966BD4" w:rsidRDefault="00D907F8" w:rsidP="00774E24">
      <w:r w:rsidRPr="00966BD4">
        <w:t xml:space="preserve">Additional revenue and receipts historical tables are available online and can be accessed at </w:t>
      </w:r>
      <w:hyperlink r:id="rId22" w:history="1">
        <w:r w:rsidR="007D2B34" w:rsidRPr="00966BD4">
          <w:rPr>
            <w:rStyle w:val="Hyperlink"/>
          </w:rPr>
          <w:t>www.budget.gov.au</w:t>
        </w:r>
      </w:hyperlink>
      <w:r w:rsidRPr="00966BD4">
        <w:t xml:space="preserve">. </w:t>
      </w:r>
    </w:p>
    <w:p w14:paraId="64264E46" w14:textId="7FF863C9" w:rsidR="00B10C8A" w:rsidRPr="00E0267E" w:rsidRDefault="00B10C8A" w:rsidP="00774E24">
      <w:r w:rsidRPr="00E0267E">
        <w:br w:type="page"/>
      </w:r>
    </w:p>
    <w:p w14:paraId="54D206E5" w14:textId="7F6191AF" w:rsidR="00AB5336" w:rsidRPr="00966BD4" w:rsidRDefault="007D2B34" w:rsidP="00D43131">
      <w:pPr>
        <w:pStyle w:val="TableHeading"/>
        <w:rPr>
          <w:rFonts w:asciiTheme="minorHAnsi" w:eastAsiaTheme="minorHAnsi" w:hAnsiTheme="minorHAnsi" w:cstheme="minorBidi"/>
          <w:b w:val="0"/>
          <w:sz w:val="22"/>
          <w:szCs w:val="22"/>
          <w:lang w:eastAsia="en-US"/>
        </w:rPr>
      </w:pPr>
      <w:r w:rsidRPr="00966BD4">
        <w:lastRenderedPageBreak/>
        <w:t>Table 5.9: Reconciliation of 202</w:t>
      </w:r>
      <w:r w:rsidR="00825B55" w:rsidRPr="00966BD4">
        <w:t>2–2</w:t>
      </w:r>
      <w:r w:rsidRPr="00966BD4">
        <w:t>3 general government (accrual) revenu</w:t>
      </w:r>
      <w:r w:rsidR="0021072A" w:rsidRPr="00966BD4">
        <w:t>e</w:t>
      </w:r>
    </w:p>
    <w:tbl>
      <w:tblPr>
        <w:tblW w:w="5000" w:type="pct"/>
        <w:tblCellMar>
          <w:left w:w="0" w:type="dxa"/>
          <w:right w:w="28" w:type="dxa"/>
        </w:tblCellMar>
        <w:tblLook w:val="04A0" w:firstRow="1" w:lastRow="0" w:firstColumn="1" w:lastColumn="0" w:noHBand="0" w:noVBand="1"/>
      </w:tblPr>
      <w:tblGrid>
        <w:gridCol w:w="3306"/>
        <w:gridCol w:w="1149"/>
        <w:gridCol w:w="1063"/>
        <w:gridCol w:w="73"/>
        <w:gridCol w:w="1060"/>
        <w:gridCol w:w="1059"/>
      </w:tblGrid>
      <w:tr w:rsidR="00AB5336" w:rsidRPr="00966BD4" w14:paraId="54E81361" w14:textId="77777777" w:rsidTr="00B43927">
        <w:trPr>
          <w:trHeight w:hRule="exact" w:val="225"/>
        </w:trPr>
        <w:tc>
          <w:tcPr>
            <w:tcW w:w="2182" w:type="pct"/>
            <w:tcBorders>
              <w:top w:val="single" w:sz="4" w:space="0" w:color="293F5B"/>
              <w:left w:val="nil"/>
              <w:bottom w:val="nil"/>
              <w:right w:val="nil"/>
            </w:tcBorders>
            <w:shd w:val="clear" w:color="auto" w:fill="auto"/>
            <w:noWrap/>
            <w:vAlign w:val="center"/>
            <w:hideMark/>
          </w:tcPr>
          <w:p w14:paraId="27F912ED" w14:textId="708FB9A6"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 </w:t>
            </w:r>
          </w:p>
        </w:tc>
        <w:tc>
          <w:tcPr>
            <w:tcW w:w="1453" w:type="pct"/>
            <w:gridSpan w:val="2"/>
            <w:tcBorders>
              <w:top w:val="single" w:sz="4" w:space="0" w:color="293F5B"/>
              <w:left w:val="nil"/>
              <w:bottom w:val="nil"/>
              <w:right w:val="nil"/>
            </w:tcBorders>
            <w:shd w:val="clear" w:color="auto" w:fill="auto"/>
            <w:noWrap/>
            <w:vAlign w:val="center"/>
            <w:hideMark/>
          </w:tcPr>
          <w:p w14:paraId="1957C480" w14:textId="77777777" w:rsidR="00AB5336" w:rsidRPr="00966BD4" w:rsidRDefault="00AB5336" w:rsidP="00AB5336">
            <w:pPr>
              <w:spacing w:before="0" w:after="0" w:line="240" w:lineRule="auto"/>
              <w:jc w:val="center"/>
              <w:rPr>
                <w:rFonts w:ascii="Arial" w:hAnsi="Arial" w:cs="Arial"/>
                <w:sz w:val="16"/>
                <w:szCs w:val="16"/>
              </w:rPr>
            </w:pPr>
            <w:r w:rsidRPr="00966BD4">
              <w:rPr>
                <w:rFonts w:ascii="Arial" w:hAnsi="Arial" w:cs="Arial"/>
                <w:sz w:val="16"/>
                <w:szCs w:val="16"/>
              </w:rPr>
              <w:t>Estimates</w:t>
            </w:r>
          </w:p>
        </w:tc>
        <w:tc>
          <w:tcPr>
            <w:tcW w:w="51" w:type="pct"/>
            <w:tcBorders>
              <w:top w:val="single" w:sz="4" w:space="0" w:color="293F5B"/>
              <w:left w:val="nil"/>
              <w:bottom w:val="nil"/>
              <w:right w:val="nil"/>
            </w:tcBorders>
            <w:shd w:val="clear" w:color="auto" w:fill="auto"/>
            <w:noWrap/>
            <w:vAlign w:val="center"/>
            <w:hideMark/>
          </w:tcPr>
          <w:p w14:paraId="571A110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 </w:t>
            </w:r>
          </w:p>
        </w:tc>
        <w:tc>
          <w:tcPr>
            <w:tcW w:w="1313" w:type="pct"/>
            <w:gridSpan w:val="2"/>
            <w:tcBorders>
              <w:top w:val="single" w:sz="4" w:space="0" w:color="293F5B"/>
              <w:left w:val="nil"/>
              <w:bottom w:val="nil"/>
              <w:right w:val="nil"/>
            </w:tcBorders>
            <w:shd w:val="clear" w:color="auto" w:fill="auto"/>
            <w:noWrap/>
            <w:vAlign w:val="center"/>
            <w:hideMark/>
          </w:tcPr>
          <w:p w14:paraId="1E0C3208" w14:textId="77777777" w:rsidR="00AB5336" w:rsidRPr="00966BD4" w:rsidRDefault="00AB5336" w:rsidP="00AB5336">
            <w:pPr>
              <w:spacing w:before="0" w:after="0" w:line="240" w:lineRule="auto"/>
              <w:jc w:val="center"/>
              <w:rPr>
                <w:rFonts w:ascii="Arial" w:hAnsi="Arial" w:cs="Arial"/>
                <w:sz w:val="16"/>
                <w:szCs w:val="16"/>
              </w:rPr>
            </w:pPr>
            <w:r w:rsidRPr="00966BD4">
              <w:rPr>
                <w:rFonts w:ascii="Arial" w:hAnsi="Arial" w:cs="Arial"/>
                <w:sz w:val="16"/>
                <w:szCs w:val="16"/>
              </w:rPr>
              <w:t>Change from October Budget</w:t>
            </w:r>
          </w:p>
        </w:tc>
      </w:tr>
      <w:tr w:rsidR="00AB5336" w:rsidRPr="00966BD4" w14:paraId="0B7AC85F"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63C4C19" w14:textId="77777777" w:rsidR="00AB5336" w:rsidRPr="00966BD4" w:rsidRDefault="00AB5336" w:rsidP="00AB5336">
            <w:pPr>
              <w:spacing w:before="0" w:after="0" w:line="240" w:lineRule="auto"/>
              <w:jc w:val="center"/>
              <w:rPr>
                <w:rFonts w:ascii="Arial" w:hAnsi="Arial" w:cs="Arial"/>
                <w:sz w:val="16"/>
                <w:szCs w:val="16"/>
              </w:rPr>
            </w:pPr>
          </w:p>
        </w:tc>
        <w:tc>
          <w:tcPr>
            <w:tcW w:w="727" w:type="pct"/>
            <w:tcBorders>
              <w:top w:val="single" w:sz="4" w:space="0" w:color="293F5B"/>
              <w:left w:val="nil"/>
              <w:bottom w:val="nil"/>
              <w:right w:val="nil"/>
            </w:tcBorders>
            <w:shd w:val="clear" w:color="000000" w:fill="FFFFFF"/>
            <w:noWrap/>
            <w:vAlign w:val="center"/>
            <w:hideMark/>
          </w:tcPr>
          <w:p w14:paraId="32404F7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October Budget</w:t>
            </w:r>
          </w:p>
        </w:tc>
        <w:tc>
          <w:tcPr>
            <w:tcW w:w="727" w:type="pct"/>
            <w:tcBorders>
              <w:top w:val="single" w:sz="4" w:space="0" w:color="293F5B"/>
              <w:left w:val="nil"/>
              <w:bottom w:val="nil"/>
              <w:right w:val="nil"/>
            </w:tcBorders>
            <w:shd w:val="clear" w:color="000000" w:fill="E6F2FF"/>
            <w:noWrap/>
            <w:vAlign w:val="center"/>
            <w:hideMark/>
          </w:tcPr>
          <w:p w14:paraId="6834A59F"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Budget</w:t>
            </w:r>
          </w:p>
        </w:tc>
        <w:tc>
          <w:tcPr>
            <w:tcW w:w="51" w:type="pct"/>
            <w:tcBorders>
              <w:top w:val="nil"/>
              <w:left w:val="nil"/>
              <w:bottom w:val="nil"/>
              <w:right w:val="nil"/>
            </w:tcBorders>
            <w:shd w:val="clear" w:color="auto" w:fill="auto"/>
            <w:noWrap/>
            <w:vAlign w:val="center"/>
            <w:hideMark/>
          </w:tcPr>
          <w:p w14:paraId="46C2C377"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38D18BFD"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 </w:t>
            </w:r>
          </w:p>
        </w:tc>
        <w:tc>
          <w:tcPr>
            <w:tcW w:w="657" w:type="pct"/>
            <w:tcBorders>
              <w:top w:val="single" w:sz="4" w:space="0" w:color="293F5B"/>
              <w:left w:val="nil"/>
              <w:bottom w:val="nil"/>
              <w:right w:val="nil"/>
            </w:tcBorders>
            <w:shd w:val="clear" w:color="auto" w:fill="auto"/>
            <w:noWrap/>
            <w:vAlign w:val="center"/>
            <w:hideMark/>
          </w:tcPr>
          <w:p w14:paraId="59F447F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 </w:t>
            </w:r>
          </w:p>
        </w:tc>
      </w:tr>
      <w:tr w:rsidR="00AB5336" w:rsidRPr="00966BD4" w14:paraId="30609BD3" w14:textId="77777777" w:rsidTr="00B43927">
        <w:trPr>
          <w:trHeight w:hRule="exact" w:val="225"/>
        </w:trPr>
        <w:tc>
          <w:tcPr>
            <w:tcW w:w="2182" w:type="pct"/>
            <w:tcBorders>
              <w:top w:val="nil"/>
              <w:left w:val="nil"/>
              <w:bottom w:val="nil"/>
              <w:right w:val="nil"/>
            </w:tcBorders>
            <w:shd w:val="clear" w:color="auto" w:fill="auto"/>
            <w:vAlign w:val="center"/>
            <w:hideMark/>
          </w:tcPr>
          <w:p w14:paraId="0065A9F9" w14:textId="77777777" w:rsidR="00AB5336" w:rsidRPr="00966BD4" w:rsidRDefault="00AB5336" w:rsidP="00AB5336">
            <w:pPr>
              <w:spacing w:before="0" w:after="0" w:line="240" w:lineRule="auto"/>
              <w:jc w:val="right"/>
              <w:rPr>
                <w:rFonts w:ascii="Arial" w:hAnsi="Arial" w:cs="Arial"/>
                <w:sz w:val="16"/>
                <w:szCs w:val="16"/>
              </w:rPr>
            </w:pPr>
          </w:p>
        </w:tc>
        <w:tc>
          <w:tcPr>
            <w:tcW w:w="727" w:type="pct"/>
            <w:tcBorders>
              <w:top w:val="nil"/>
              <w:left w:val="nil"/>
              <w:bottom w:val="nil"/>
              <w:right w:val="nil"/>
            </w:tcBorders>
            <w:shd w:val="clear" w:color="auto" w:fill="auto"/>
            <w:vAlign w:val="center"/>
            <w:hideMark/>
          </w:tcPr>
          <w:p w14:paraId="5736778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$m</w:t>
            </w:r>
          </w:p>
        </w:tc>
        <w:tc>
          <w:tcPr>
            <w:tcW w:w="727" w:type="pct"/>
            <w:tcBorders>
              <w:top w:val="nil"/>
              <w:left w:val="nil"/>
              <w:bottom w:val="nil"/>
              <w:right w:val="nil"/>
            </w:tcBorders>
            <w:shd w:val="clear" w:color="000000" w:fill="E6F2FF"/>
            <w:noWrap/>
            <w:vAlign w:val="center"/>
            <w:hideMark/>
          </w:tcPr>
          <w:p w14:paraId="5F94F147"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$m</w:t>
            </w:r>
          </w:p>
        </w:tc>
        <w:tc>
          <w:tcPr>
            <w:tcW w:w="51" w:type="pct"/>
            <w:tcBorders>
              <w:top w:val="nil"/>
              <w:left w:val="nil"/>
              <w:bottom w:val="nil"/>
              <w:right w:val="nil"/>
            </w:tcBorders>
            <w:shd w:val="clear" w:color="auto" w:fill="auto"/>
            <w:vAlign w:val="center"/>
            <w:hideMark/>
          </w:tcPr>
          <w:p w14:paraId="6FF91A97"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vAlign w:val="center"/>
            <w:hideMark/>
          </w:tcPr>
          <w:p w14:paraId="427DFEF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$m</w:t>
            </w:r>
          </w:p>
        </w:tc>
        <w:tc>
          <w:tcPr>
            <w:tcW w:w="657" w:type="pct"/>
            <w:tcBorders>
              <w:top w:val="nil"/>
              <w:left w:val="nil"/>
              <w:bottom w:val="nil"/>
              <w:right w:val="nil"/>
            </w:tcBorders>
            <w:shd w:val="clear" w:color="auto" w:fill="auto"/>
            <w:vAlign w:val="center"/>
            <w:hideMark/>
          </w:tcPr>
          <w:p w14:paraId="76AB9AD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w:t>
            </w:r>
          </w:p>
        </w:tc>
      </w:tr>
      <w:tr w:rsidR="00AB5336" w:rsidRPr="00966BD4" w14:paraId="794FE1B2"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546C699"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Individuals and other withholding taxes</w:t>
            </w:r>
          </w:p>
        </w:tc>
        <w:tc>
          <w:tcPr>
            <w:tcW w:w="727" w:type="pct"/>
            <w:tcBorders>
              <w:top w:val="single" w:sz="4" w:space="0" w:color="293F5B"/>
              <w:left w:val="nil"/>
              <w:bottom w:val="nil"/>
              <w:right w:val="nil"/>
            </w:tcBorders>
            <w:shd w:val="clear" w:color="auto" w:fill="auto"/>
            <w:noWrap/>
            <w:vAlign w:val="center"/>
            <w:hideMark/>
          </w:tcPr>
          <w:p w14:paraId="073D800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 </w:t>
            </w:r>
          </w:p>
        </w:tc>
        <w:tc>
          <w:tcPr>
            <w:tcW w:w="727" w:type="pct"/>
            <w:tcBorders>
              <w:top w:val="single" w:sz="4" w:space="0" w:color="293F5B"/>
              <w:left w:val="nil"/>
              <w:bottom w:val="nil"/>
              <w:right w:val="nil"/>
            </w:tcBorders>
            <w:shd w:val="clear" w:color="000000" w:fill="E6F2FF"/>
            <w:noWrap/>
            <w:vAlign w:val="center"/>
            <w:hideMark/>
          </w:tcPr>
          <w:p w14:paraId="5D643E1D"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69AFCEA0" w14:textId="77777777" w:rsidR="00AB5336" w:rsidRPr="00966BD4" w:rsidRDefault="00AB5336" w:rsidP="00AB5336">
            <w:pPr>
              <w:spacing w:before="0" w:after="0" w:line="240" w:lineRule="auto"/>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1896C624"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 </w:t>
            </w:r>
          </w:p>
        </w:tc>
        <w:tc>
          <w:tcPr>
            <w:tcW w:w="657" w:type="pct"/>
            <w:tcBorders>
              <w:top w:val="single" w:sz="4" w:space="0" w:color="293F5B"/>
              <w:left w:val="nil"/>
              <w:bottom w:val="nil"/>
              <w:right w:val="nil"/>
            </w:tcBorders>
            <w:shd w:val="clear" w:color="auto" w:fill="auto"/>
            <w:noWrap/>
            <w:vAlign w:val="center"/>
            <w:hideMark/>
          </w:tcPr>
          <w:p w14:paraId="6B3C09C6"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 </w:t>
            </w:r>
          </w:p>
        </w:tc>
      </w:tr>
      <w:tr w:rsidR="00AB5336" w:rsidRPr="00966BD4" w14:paraId="58C65018"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89251BE"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Gross income tax withholding</w:t>
            </w:r>
          </w:p>
        </w:tc>
        <w:tc>
          <w:tcPr>
            <w:tcW w:w="727" w:type="pct"/>
            <w:tcBorders>
              <w:top w:val="nil"/>
              <w:left w:val="nil"/>
              <w:bottom w:val="nil"/>
              <w:right w:val="nil"/>
            </w:tcBorders>
            <w:shd w:val="clear" w:color="auto" w:fill="auto"/>
            <w:noWrap/>
            <w:vAlign w:val="center"/>
            <w:hideMark/>
          </w:tcPr>
          <w:p w14:paraId="7056A50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262,800</w:t>
            </w:r>
          </w:p>
        </w:tc>
        <w:tc>
          <w:tcPr>
            <w:tcW w:w="727" w:type="pct"/>
            <w:tcBorders>
              <w:top w:val="nil"/>
              <w:left w:val="nil"/>
              <w:bottom w:val="nil"/>
              <w:right w:val="nil"/>
            </w:tcBorders>
            <w:shd w:val="clear" w:color="000000" w:fill="E6F2FF"/>
            <w:noWrap/>
            <w:vAlign w:val="center"/>
            <w:hideMark/>
          </w:tcPr>
          <w:p w14:paraId="4706414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272,300</w:t>
            </w:r>
          </w:p>
        </w:tc>
        <w:tc>
          <w:tcPr>
            <w:tcW w:w="51" w:type="pct"/>
            <w:tcBorders>
              <w:top w:val="nil"/>
              <w:left w:val="nil"/>
              <w:bottom w:val="nil"/>
              <w:right w:val="nil"/>
            </w:tcBorders>
            <w:shd w:val="clear" w:color="auto" w:fill="auto"/>
            <w:noWrap/>
            <w:vAlign w:val="center"/>
            <w:hideMark/>
          </w:tcPr>
          <w:p w14:paraId="56024589"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0327A5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9,500</w:t>
            </w:r>
          </w:p>
        </w:tc>
        <w:tc>
          <w:tcPr>
            <w:tcW w:w="657" w:type="pct"/>
            <w:tcBorders>
              <w:top w:val="nil"/>
              <w:left w:val="nil"/>
              <w:bottom w:val="nil"/>
              <w:right w:val="nil"/>
            </w:tcBorders>
            <w:shd w:val="clear" w:color="auto" w:fill="auto"/>
            <w:noWrap/>
            <w:vAlign w:val="center"/>
            <w:hideMark/>
          </w:tcPr>
          <w:p w14:paraId="1B8BAF07"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3.6</w:t>
            </w:r>
          </w:p>
        </w:tc>
      </w:tr>
      <w:tr w:rsidR="00AB5336" w:rsidRPr="00966BD4" w14:paraId="35F02FD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4AFB9D88"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Gross other individuals</w:t>
            </w:r>
          </w:p>
        </w:tc>
        <w:tc>
          <w:tcPr>
            <w:tcW w:w="727" w:type="pct"/>
            <w:tcBorders>
              <w:top w:val="nil"/>
              <w:left w:val="nil"/>
              <w:bottom w:val="nil"/>
              <w:right w:val="nil"/>
            </w:tcBorders>
            <w:shd w:val="clear" w:color="auto" w:fill="auto"/>
            <w:noWrap/>
            <w:vAlign w:val="center"/>
            <w:hideMark/>
          </w:tcPr>
          <w:p w14:paraId="31D74B1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65,600</w:t>
            </w:r>
          </w:p>
        </w:tc>
        <w:tc>
          <w:tcPr>
            <w:tcW w:w="727" w:type="pct"/>
            <w:tcBorders>
              <w:top w:val="nil"/>
              <w:left w:val="nil"/>
              <w:bottom w:val="nil"/>
              <w:right w:val="nil"/>
            </w:tcBorders>
            <w:shd w:val="clear" w:color="000000" w:fill="E6F2FF"/>
            <w:noWrap/>
            <w:vAlign w:val="center"/>
            <w:hideMark/>
          </w:tcPr>
          <w:p w14:paraId="2B678AC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73,000</w:t>
            </w:r>
          </w:p>
        </w:tc>
        <w:tc>
          <w:tcPr>
            <w:tcW w:w="51" w:type="pct"/>
            <w:tcBorders>
              <w:top w:val="nil"/>
              <w:left w:val="nil"/>
              <w:bottom w:val="nil"/>
              <w:right w:val="nil"/>
            </w:tcBorders>
            <w:shd w:val="clear" w:color="auto" w:fill="auto"/>
            <w:noWrap/>
            <w:vAlign w:val="center"/>
            <w:hideMark/>
          </w:tcPr>
          <w:p w14:paraId="3E444964"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CC04B4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7,400</w:t>
            </w:r>
          </w:p>
        </w:tc>
        <w:tc>
          <w:tcPr>
            <w:tcW w:w="657" w:type="pct"/>
            <w:tcBorders>
              <w:top w:val="nil"/>
              <w:left w:val="nil"/>
              <w:bottom w:val="nil"/>
              <w:right w:val="nil"/>
            </w:tcBorders>
            <w:shd w:val="clear" w:color="auto" w:fill="auto"/>
            <w:noWrap/>
            <w:vAlign w:val="center"/>
            <w:hideMark/>
          </w:tcPr>
          <w:p w14:paraId="5814EDB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11.3</w:t>
            </w:r>
          </w:p>
        </w:tc>
      </w:tr>
      <w:tr w:rsidR="00AB5336" w:rsidRPr="00966BD4" w14:paraId="488675C6" w14:textId="77777777" w:rsidTr="00B43927">
        <w:trPr>
          <w:trHeight w:hRule="exact" w:val="225"/>
        </w:trPr>
        <w:tc>
          <w:tcPr>
            <w:tcW w:w="2182" w:type="pct"/>
            <w:tcBorders>
              <w:top w:val="nil"/>
              <w:left w:val="nil"/>
              <w:bottom w:val="nil"/>
              <w:right w:val="nil"/>
            </w:tcBorders>
            <w:shd w:val="clear" w:color="auto" w:fill="auto"/>
            <w:noWrap/>
            <w:vAlign w:val="center"/>
            <w:hideMark/>
          </w:tcPr>
          <w:p w14:paraId="5A673074" w14:textId="77777777" w:rsidR="00AB5336" w:rsidRPr="00966BD4" w:rsidRDefault="00AB5336" w:rsidP="00B43927">
            <w:pPr>
              <w:spacing w:before="0" w:after="0" w:line="240" w:lineRule="auto"/>
              <w:ind w:left="170"/>
              <w:rPr>
                <w:rFonts w:ascii="Arial" w:hAnsi="Arial" w:cs="Arial"/>
                <w:i/>
                <w:iCs/>
                <w:sz w:val="16"/>
                <w:szCs w:val="16"/>
              </w:rPr>
            </w:pPr>
            <w:r w:rsidRPr="00966BD4">
              <w:rPr>
                <w:rFonts w:ascii="Arial" w:hAnsi="Arial" w:cs="Arial"/>
                <w:i/>
                <w:iCs/>
                <w:sz w:val="16"/>
                <w:szCs w:val="16"/>
              </w:rPr>
              <w:t xml:space="preserve">less: </w:t>
            </w:r>
            <w:r w:rsidRPr="00966BD4">
              <w:rPr>
                <w:rFonts w:ascii="Arial" w:hAnsi="Arial" w:cs="Arial"/>
                <w:sz w:val="16"/>
                <w:szCs w:val="16"/>
              </w:rPr>
              <w:t>Refunds</w:t>
            </w:r>
          </w:p>
        </w:tc>
        <w:tc>
          <w:tcPr>
            <w:tcW w:w="727" w:type="pct"/>
            <w:tcBorders>
              <w:top w:val="nil"/>
              <w:left w:val="nil"/>
              <w:bottom w:val="single" w:sz="4" w:space="0" w:color="293F5B"/>
              <w:right w:val="nil"/>
            </w:tcBorders>
            <w:shd w:val="clear" w:color="auto" w:fill="auto"/>
            <w:noWrap/>
            <w:vAlign w:val="center"/>
            <w:hideMark/>
          </w:tcPr>
          <w:p w14:paraId="43BAAF9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41,800</w:t>
            </w:r>
          </w:p>
        </w:tc>
        <w:tc>
          <w:tcPr>
            <w:tcW w:w="727" w:type="pct"/>
            <w:tcBorders>
              <w:top w:val="nil"/>
              <w:left w:val="nil"/>
              <w:bottom w:val="single" w:sz="4" w:space="0" w:color="293F5B"/>
              <w:right w:val="nil"/>
            </w:tcBorders>
            <w:shd w:val="clear" w:color="000000" w:fill="E6F2FF"/>
            <w:noWrap/>
            <w:vAlign w:val="center"/>
            <w:hideMark/>
          </w:tcPr>
          <w:p w14:paraId="6BEE87A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42,100</w:t>
            </w:r>
          </w:p>
        </w:tc>
        <w:tc>
          <w:tcPr>
            <w:tcW w:w="51" w:type="pct"/>
            <w:tcBorders>
              <w:top w:val="nil"/>
              <w:left w:val="nil"/>
              <w:bottom w:val="nil"/>
              <w:right w:val="nil"/>
            </w:tcBorders>
            <w:shd w:val="clear" w:color="auto" w:fill="auto"/>
            <w:noWrap/>
            <w:vAlign w:val="center"/>
            <w:hideMark/>
          </w:tcPr>
          <w:p w14:paraId="38D6BEB3"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single" w:sz="4" w:space="0" w:color="293F5B"/>
              <w:right w:val="nil"/>
            </w:tcBorders>
            <w:shd w:val="clear" w:color="auto" w:fill="auto"/>
            <w:noWrap/>
            <w:vAlign w:val="center"/>
            <w:hideMark/>
          </w:tcPr>
          <w:p w14:paraId="215EB95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single" w:sz="4" w:space="0" w:color="293F5B"/>
              <w:right w:val="nil"/>
            </w:tcBorders>
            <w:shd w:val="clear" w:color="auto" w:fill="auto"/>
            <w:noWrap/>
            <w:vAlign w:val="center"/>
            <w:hideMark/>
          </w:tcPr>
          <w:p w14:paraId="49F7F53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0.7</w:t>
            </w:r>
          </w:p>
        </w:tc>
      </w:tr>
      <w:tr w:rsidR="00AB5336" w:rsidRPr="00966BD4" w14:paraId="03702BF7"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9611B5F"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Total individuals and other withholding tax</w:t>
            </w:r>
          </w:p>
        </w:tc>
        <w:tc>
          <w:tcPr>
            <w:tcW w:w="727" w:type="pct"/>
            <w:tcBorders>
              <w:top w:val="nil"/>
              <w:left w:val="nil"/>
              <w:bottom w:val="nil"/>
              <w:right w:val="nil"/>
            </w:tcBorders>
            <w:shd w:val="clear" w:color="auto" w:fill="auto"/>
            <w:noWrap/>
            <w:vAlign w:val="center"/>
            <w:hideMark/>
          </w:tcPr>
          <w:p w14:paraId="4D6401AC"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286,600</w:t>
            </w:r>
          </w:p>
        </w:tc>
        <w:tc>
          <w:tcPr>
            <w:tcW w:w="727" w:type="pct"/>
            <w:tcBorders>
              <w:top w:val="nil"/>
              <w:left w:val="nil"/>
              <w:bottom w:val="nil"/>
              <w:right w:val="nil"/>
            </w:tcBorders>
            <w:shd w:val="clear" w:color="000000" w:fill="E6F2FF"/>
            <w:noWrap/>
            <w:vAlign w:val="center"/>
            <w:hideMark/>
          </w:tcPr>
          <w:p w14:paraId="10A10E7C"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303,200</w:t>
            </w:r>
          </w:p>
        </w:tc>
        <w:tc>
          <w:tcPr>
            <w:tcW w:w="51" w:type="pct"/>
            <w:tcBorders>
              <w:top w:val="nil"/>
              <w:left w:val="nil"/>
              <w:bottom w:val="nil"/>
              <w:right w:val="nil"/>
            </w:tcBorders>
            <w:shd w:val="clear" w:color="auto" w:fill="auto"/>
            <w:noWrap/>
            <w:vAlign w:val="center"/>
            <w:hideMark/>
          </w:tcPr>
          <w:p w14:paraId="0DB56D36"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42B730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16,600</w:t>
            </w:r>
          </w:p>
        </w:tc>
        <w:tc>
          <w:tcPr>
            <w:tcW w:w="657" w:type="pct"/>
            <w:tcBorders>
              <w:top w:val="nil"/>
              <w:left w:val="nil"/>
              <w:bottom w:val="nil"/>
              <w:right w:val="nil"/>
            </w:tcBorders>
            <w:shd w:val="clear" w:color="auto" w:fill="auto"/>
            <w:noWrap/>
            <w:vAlign w:val="center"/>
            <w:hideMark/>
          </w:tcPr>
          <w:p w14:paraId="11E7C4A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5.8</w:t>
            </w:r>
          </w:p>
        </w:tc>
      </w:tr>
      <w:tr w:rsidR="00AB5336" w:rsidRPr="00966BD4" w14:paraId="7F1B605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153486C"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Fringe benefits tax</w:t>
            </w:r>
          </w:p>
        </w:tc>
        <w:tc>
          <w:tcPr>
            <w:tcW w:w="727" w:type="pct"/>
            <w:tcBorders>
              <w:top w:val="nil"/>
              <w:left w:val="nil"/>
              <w:bottom w:val="nil"/>
              <w:right w:val="nil"/>
            </w:tcBorders>
            <w:shd w:val="clear" w:color="auto" w:fill="auto"/>
            <w:noWrap/>
            <w:vAlign w:val="center"/>
            <w:hideMark/>
          </w:tcPr>
          <w:p w14:paraId="730E18B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3,440</w:t>
            </w:r>
          </w:p>
        </w:tc>
        <w:tc>
          <w:tcPr>
            <w:tcW w:w="727" w:type="pct"/>
            <w:tcBorders>
              <w:top w:val="nil"/>
              <w:left w:val="nil"/>
              <w:bottom w:val="nil"/>
              <w:right w:val="nil"/>
            </w:tcBorders>
            <w:shd w:val="clear" w:color="000000" w:fill="E6F2FF"/>
            <w:noWrap/>
            <w:vAlign w:val="center"/>
            <w:hideMark/>
          </w:tcPr>
          <w:p w14:paraId="7ED7419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3,510</w:t>
            </w:r>
          </w:p>
        </w:tc>
        <w:tc>
          <w:tcPr>
            <w:tcW w:w="51" w:type="pct"/>
            <w:tcBorders>
              <w:top w:val="nil"/>
              <w:left w:val="nil"/>
              <w:bottom w:val="nil"/>
              <w:right w:val="nil"/>
            </w:tcBorders>
            <w:shd w:val="clear" w:color="auto" w:fill="auto"/>
            <w:noWrap/>
            <w:vAlign w:val="center"/>
            <w:hideMark/>
          </w:tcPr>
          <w:p w14:paraId="22FCB8F1"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44FC31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70</w:t>
            </w:r>
          </w:p>
        </w:tc>
        <w:tc>
          <w:tcPr>
            <w:tcW w:w="657" w:type="pct"/>
            <w:tcBorders>
              <w:top w:val="nil"/>
              <w:left w:val="nil"/>
              <w:bottom w:val="nil"/>
              <w:right w:val="nil"/>
            </w:tcBorders>
            <w:shd w:val="clear" w:color="auto" w:fill="auto"/>
            <w:noWrap/>
            <w:vAlign w:val="center"/>
            <w:hideMark/>
          </w:tcPr>
          <w:p w14:paraId="12FC963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2.0</w:t>
            </w:r>
          </w:p>
        </w:tc>
      </w:tr>
      <w:tr w:rsidR="00AB5336" w:rsidRPr="00966BD4" w14:paraId="7DCAC29C" w14:textId="77777777" w:rsidTr="00B43927">
        <w:trPr>
          <w:trHeight w:hRule="exact" w:val="225"/>
        </w:trPr>
        <w:tc>
          <w:tcPr>
            <w:tcW w:w="2182" w:type="pct"/>
            <w:tcBorders>
              <w:top w:val="nil"/>
              <w:left w:val="nil"/>
              <w:bottom w:val="nil"/>
              <w:right w:val="nil"/>
            </w:tcBorders>
            <w:shd w:val="clear" w:color="auto" w:fill="auto"/>
            <w:noWrap/>
            <w:vAlign w:val="center"/>
            <w:hideMark/>
          </w:tcPr>
          <w:p w14:paraId="584B074C"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Company tax</w:t>
            </w:r>
          </w:p>
        </w:tc>
        <w:tc>
          <w:tcPr>
            <w:tcW w:w="727" w:type="pct"/>
            <w:tcBorders>
              <w:top w:val="nil"/>
              <w:left w:val="nil"/>
              <w:bottom w:val="nil"/>
              <w:right w:val="nil"/>
            </w:tcBorders>
            <w:shd w:val="clear" w:color="auto" w:fill="auto"/>
            <w:noWrap/>
            <w:vAlign w:val="center"/>
            <w:hideMark/>
          </w:tcPr>
          <w:p w14:paraId="5163E2D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129,900</w:t>
            </w:r>
          </w:p>
        </w:tc>
        <w:tc>
          <w:tcPr>
            <w:tcW w:w="727" w:type="pct"/>
            <w:tcBorders>
              <w:top w:val="nil"/>
              <w:left w:val="nil"/>
              <w:bottom w:val="nil"/>
              <w:right w:val="nil"/>
            </w:tcBorders>
            <w:shd w:val="clear" w:color="000000" w:fill="E6F2FF"/>
            <w:noWrap/>
            <w:vAlign w:val="center"/>
            <w:hideMark/>
          </w:tcPr>
          <w:p w14:paraId="000187E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140,800</w:t>
            </w:r>
          </w:p>
        </w:tc>
        <w:tc>
          <w:tcPr>
            <w:tcW w:w="51" w:type="pct"/>
            <w:tcBorders>
              <w:top w:val="nil"/>
              <w:left w:val="nil"/>
              <w:bottom w:val="nil"/>
              <w:right w:val="nil"/>
            </w:tcBorders>
            <w:shd w:val="clear" w:color="auto" w:fill="auto"/>
            <w:noWrap/>
            <w:vAlign w:val="center"/>
            <w:hideMark/>
          </w:tcPr>
          <w:p w14:paraId="55C86FAE"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571453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10,900</w:t>
            </w:r>
          </w:p>
        </w:tc>
        <w:tc>
          <w:tcPr>
            <w:tcW w:w="657" w:type="pct"/>
            <w:tcBorders>
              <w:top w:val="nil"/>
              <w:left w:val="nil"/>
              <w:bottom w:val="nil"/>
              <w:right w:val="nil"/>
            </w:tcBorders>
            <w:shd w:val="clear" w:color="auto" w:fill="auto"/>
            <w:noWrap/>
            <w:vAlign w:val="center"/>
            <w:hideMark/>
          </w:tcPr>
          <w:p w14:paraId="6579695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8.4</w:t>
            </w:r>
          </w:p>
        </w:tc>
      </w:tr>
      <w:tr w:rsidR="00AB5336" w:rsidRPr="00966BD4" w14:paraId="19EE063E"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698C79E"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Superannuation fund taxes</w:t>
            </w:r>
          </w:p>
        </w:tc>
        <w:tc>
          <w:tcPr>
            <w:tcW w:w="727" w:type="pct"/>
            <w:tcBorders>
              <w:top w:val="nil"/>
              <w:left w:val="nil"/>
              <w:bottom w:val="nil"/>
              <w:right w:val="nil"/>
            </w:tcBorders>
            <w:shd w:val="clear" w:color="auto" w:fill="auto"/>
            <w:noWrap/>
            <w:vAlign w:val="center"/>
            <w:hideMark/>
          </w:tcPr>
          <w:p w14:paraId="0E2ED67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12,670</w:t>
            </w:r>
          </w:p>
        </w:tc>
        <w:tc>
          <w:tcPr>
            <w:tcW w:w="727" w:type="pct"/>
            <w:tcBorders>
              <w:top w:val="nil"/>
              <w:left w:val="nil"/>
              <w:bottom w:val="nil"/>
              <w:right w:val="nil"/>
            </w:tcBorders>
            <w:shd w:val="clear" w:color="000000" w:fill="E6F2FF"/>
            <w:noWrap/>
            <w:vAlign w:val="center"/>
            <w:hideMark/>
          </w:tcPr>
          <w:p w14:paraId="35E53897"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9,670</w:t>
            </w:r>
          </w:p>
        </w:tc>
        <w:tc>
          <w:tcPr>
            <w:tcW w:w="51" w:type="pct"/>
            <w:tcBorders>
              <w:top w:val="nil"/>
              <w:left w:val="nil"/>
              <w:bottom w:val="nil"/>
              <w:right w:val="nil"/>
            </w:tcBorders>
            <w:shd w:val="clear" w:color="auto" w:fill="auto"/>
            <w:noWrap/>
            <w:vAlign w:val="center"/>
            <w:hideMark/>
          </w:tcPr>
          <w:p w14:paraId="35B8D1A5"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E4F8A26" w14:textId="7CDFFBF5"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3,000</w:t>
            </w:r>
          </w:p>
        </w:tc>
        <w:tc>
          <w:tcPr>
            <w:tcW w:w="657" w:type="pct"/>
            <w:tcBorders>
              <w:top w:val="nil"/>
              <w:left w:val="nil"/>
              <w:bottom w:val="nil"/>
              <w:right w:val="nil"/>
            </w:tcBorders>
            <w:shd w:val="clear" w:color="auto" w:fill="auto"/>
            <w:noWrap/>
            <w:vAlign w:val="center"/>
            <w:hideMark/>
          </w:tcPr>
          <w:p w14:paraId="1C739A2A" w14:textId="07B630D2"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23.7</w:t>
            </w:r>
          </w:p>
        </w:tc>
      </w:tr>
      <w:tr w:rsidR="00AB5336" w:rsidRPr="00966BD4" w14:paraId="0851CDC3" w14:textId="77777777" w:rsidTr="00B43927">
        <w:trPr>
          <w:trHeight w:hRule="exact" w:val="225"/>
        </w:trPr>
        <w:tc>
          <w:tcPr>
            <w:tcW w:w="2182" w:type="pct"/>
            <w:tcBorders>
              <w:top w:val="nil"/>
              <w:left w:val="nil"/>
              <w:bottom w:val="nil"/>
              <w:right w:val="nil"/>
            </w:tcBorders>
            <w:shd w:val="clear" w:color="auto" w:fill="auto"/>
            <w:noWrap/>
            <w:vAlign w:val="center"/>
            <w:hideMark/>
          </w:tcPr>
          <w:p w14:paraId="5B7228DA"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Petroleum resource rent tax</w:t>
            </w:r>
          </w:p>
        </w:tc>
        <w:tc>
          <w:tcPr>
            <w:tcW w:w="727" w:type="pct"/>
            <w:tcBorders>
              <w:top w:val="nil"/>
              <w:left w:val="nil"/>
              <w:bottom w:val="nil"/>
              <w:right w:val="nil"/>
            </w:tcBorders>
            <w:shd w:val="clear" w:color="auto" w:fill="auto"/>
            <w:noWrap/>
            <w:vAlign w:val="center"/>
            <w:hideMark/>
          </w:tcPr>
          <w:p w14:paraId="4596131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2,790</w:t>
            </w:r>
          </w:p>
        </w:tc>
        <w:tc>
          <w:tcPr>
            <w:tcW w:w="727" w:type="pct"/>
            <w:tcBorders>
              <w:top w:val="nil"/>
              <w:left w:val="nil"/>
              <w:bottom w:val="nil"/>
              <w:right w:val="nil"/>
            </w:tcBorders>
            <w:shd w:val="clear" w:color="000000" w:fill="E6F2FF"/>
            <w:noWrap/>
            <w:vAlign w:val="center"/>
            <w:hideMark/>
          </w:tcPr>
          <w:p w14:paraId="2967B97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2,230</w:t>
            </w:r>
          </w:p>
        </w:tc>
        <w:tc>
          <w:tcPr>
            <w:tcW w:w="51" w:type="pct"/>
            <w:tcBorders>
              <w:top w:val="nil"/>
              <w:left w:val="nil"/>
              <w:bottom w:val="nil"/>
              <w:right w:val="nil"/>
            </w:tcBorders>
            <w:shd w:val="clear" w:color="auto" w:fill="auto"/>
            <w:noWrap/>
            <w:vAlign w:val="center"/>
            <w:hideMark/>
          </w:tcPr>
          <w:p w14:paraId="0B42EF16"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1DAE534" w14:textId="65C07AA5"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560</w:t>
            </w:r>
          </w:p>
        </w:tc>
        <w:tc>
          <w:tcPr>
            <w:tcW w:w="657" w:type="pct"/>
            <w:tcBorders>
              <w:top w:val="nil"/>
              <w:left w:val="nil"/>
              <w:bottom w:val="nil"/>
              <w:right w:val="nil"/>
            </w:tcBorders>
            <w:shd w:val="clear" w:color="auto" w:fill="auto"/>
            <w:noWrap/>
            <w:vAlign w:val="center"/>
            <w:hideMark/>
          </w:tcPr>
          <w:p w14:paraId="6597B6EF" w14:textId="11226C54"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20.1</w:t>
            </w:r>
          </w:p>
        </w:tc>
      </w:tr>
      <w:tr w:rsidR="00AB5336" w:rsidRPr="00966BD4" w14:paraId="44C1C7DD" w14:textId="77777777" w:rsidTr="00B43927">
        <w:trPr>
          <w:trHeight w:hRule="exact" w:val="225"/>
        </w:trPr>
        <w:tc>
          <w:tcPr>
            <w:tcW w:w="2182" w:type="pct"/>
            <w:tcBorders>
              <w:top w:val="nil"/>
              <w:left w:val="nil"/>
              <w:bottom w:val="nil"/>
              <w:right w:val="nil"/>
            </w:tcBorders>
            <w:shd w:val="clear" w:color="auto" w:fill="auto"/>
            <w:noWrap/>
            <w:vAlign w:val="center"/>
            <w:hideMark/>
          </w:tcPr>
          <w:p w14:paraId="454F6AA3"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Income taxation revenue</w:t>
            </w:r>
          </w:p>
        </w:tc>
        <w:tc>
          <w:tcPr>
            <w:tcW w:w="727" w:type="pct"/>
            <w:tcBorders>
              <w:top w:val="single" w:sz="4" w:space="0" w:color="293F5B"/>
              <w:left w:val="nil"/>
              <w:bottom w:val="single" w:sz="4" w:space="0" w:color="293F5B"/>
              <w:right w:val="nil"/>
            </w:tcBorders>
            <w:shd w:val="clear" w:color="auto" w:fill="auto"/>
            <w:noWrap/>
            <w:vAlign w:val="center"/>
            <w:hideMark/>
          </w:tcPr>
          <w:p w14:paraId="12BABCEB"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435,400</w:t>
            </w:r>
          </w:p>
        </w:tc>
        <w:tc>
          <w:tcPr>
            <w:tcW w:w="727" w:type="pct"/>
            <w:tcBorders>
              <w:top w:val="single" w:sz="4" w:space="0" w:color="293F5B"/>
              <w:left w:val="nil"/>
              <w:bottom w:val="single" w:sz="4" w:space="0" w:color="293F5B"/>
              <w:right w:val="nil"/>
            </w:tcBorders>
            <w:shd w:val="clear" w:color="000000" w:fill="E6F2FF"/>
            <w:noWrap/>
            <w:vAlign w:val="center"/>
            <w:hideMark/>
          </w:tcPr>
          <w:p w14:paraId="20EE44B6"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459,410</w:t>
            </w:r>
          </w:p>
        </w:tc>
        <w:tc>
          <w:tcPr>
            <w:tcW w:w="51" w:type="pct"/>
            <w:tcBorders>
              <w:top w:val="nil"/>
              <w:left w:val="nil"/>
              <w:bottom w:val="nil"/>
              <w:right w:val="nil"/>
            </w:tcBorders>
            <w:shd w:val="clear" w:color="auto" w:fill="auto"/>
            <w:noWrap/>
            <w:vAlign w:val="center"/>
            <w:hideMark/>
          </w:tcPr>
          <w:p w14:paraId="6FCEBC93" w14:textId="77777777" w:rsidR="00AB5336" w:rsidRPr="00966BD4" w:rsidRDefault="00AB5336" w:rsidP="00AB5336">
            <w:pPr>
              <w:spacing w:before="0" w:after="0" w:line="240" w:lineRule="auto"/>
              <w:jc w:val="right"/>
              <w:rPr>
                <w:rFonts w:ascii="Arial" w:hAnsi="Arial" w:cs="Arial"/>
                <w:b/>
                <w:bCs/>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69255806"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24,010</w:t>
            </w:r>
          </w:p>
        </w:tc>
        <w:tc>
          <w:tcPr>
            <w:tcW w:w="657" w:type="pct"/>
            <w:tcBorders>
              <w:top w:val="single" w:sz="4" w:space="0" w:color="293F5B"/>
              <w:left w:val="nil"/>
              <w:bottom w:val="single" w:sz="4" w:space="0" w:color="293F5B"/>
              <w:right w:val="nil"/>
            </w:tcBorders>
            <w:shd w:val="clear" w:color="auto" w:fill="auto"/>
            <w:noWrap/>
            <w:vAlign w:val="center"/>
            <w:hideMark/>
          </w:tcPr>
          <w:p w14:paraId="58AECB80"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5.5</w:t>
            </w:r>
          </w:p>
        </w:tc>
      </w:tr>
      <w:tr w:rsidR="00AB5336" w:rsidRPr="00966BD4" w14:paraId="72471B00" w14:textId="77777777" w:rsidTr="00B43927">
        <w:trPr>
          <w:trHeight w:hRule="exact" w:val="225"/>
        </w:trPr>
        <w:tc>
          <w:tcPr>
            <w:tcW w:w="2182" w:type="pct"/>
            <w:tcBorders>
              <w:top w:val="nil"/>
              <w:left w:val="nil"/>
              <w:bottom w:val="nil"/>
              <w:right w:val="nil"/>
            </w:tcBorders>
            <w:shd w:val="clear" w:color="auto" w:fill="auto"/>
            <w:noWrap/>
            <w:vAlign w:val="center"/>
            <w:hideMark/>
          </w:tcPr>
          <w:p w14:paraId="591D455F"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Goods and services tax</w:t>
            </w:r>
          </w:p>
        </w:tc>
        <w:tc>
          <w:tcPr>
            <w:tcW w:w="727" w:type="pct"/>
            <w:tcBorders>
              <w:top w:val="nil"/>
              <w:left w:val="nil"/>
              <w:bottom w:val="nil"/>
              <w:right w:val="nil"/>
            </w:tcBorders>
            <w:shd w:val="clear" w:color="auto" w:fill="auto"/>
            <w:noWrap/>
            <w:vAlign w:val="center"/>
            <w:hideMark/>
          </w:tcPr>
          <w:p w14:paraId="52FB306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86,820</w:t>
            </w:r>
          </w:p>
        </w:tc>
        <w:tc>
          <w:tcPr>
            <w:tcW w:w="727" w:type="pct"/>
            <w:tcBorders>
              <w:top w:val="nil"/>
              <w:left w:val="nil"/>
              <w:bottom w:val="nil"/>
              <w:right w:val="nil"/>
            </w:tcBorders>
            <w:shd w:val="clear" w:color="000000" w:fill="E6F2FF"/>
            <w:noWrap/>
            <w:vAlign w:val="center"/>
            <w:hideMark/>
          </w:tcPr>
          <w:p w14:paraId="097D49B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88,040</w:t>
            </w:r>
          </w:p>
        </w:tc>
        <w:tc>
          <w:tcPr>
            <w:tcW w:w="51" w:type="pct"/>
            <w:tcBorders>
              <w:top w:val="nil"/>
              <w:left w:val="nil"/>
              <w:bottom w:val="nil"/>
              <w:right w:val="nil"/>
            </w:tcBorders>
            <w:shd w:val="clear" w:color="auto" w:fill="auto"/>
            <w:noWrap/>
            <w:vAlign w:val="center"/>
            <w:hideMark/>
          </w:tcPr>
          <w:p w14:paraId="2681F14F"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21338E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1,220</w:t>
            </w:r>
          </w:p>
        </w:tc>
        <w:tc>
          <w:tcPr>
            <w:tcW w:w="657" w:type="pct"/>
            <w:tcBorders>
              <w:top w:val="nil"/>
              <w:left w:val="nil"/>
              <w:bottom w:val="nil"/>
              <w:right w:val="nil"/>
            </w:tcBorders>
            <w:shd w:val="clear" w:color="auto" w:fill="auto"/>
            <w:noWrap/>
            <w:vAlign w:val="center"/>
            <w:hideMark/>
          </w:tcPr>
          <w:p w14:paraId="167A70D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1.4</w:t>
            </w:r>
          </w:p>
        </w:tc>
      </w:tr>
      <w:tr w:rsidR="00AB5336" w:rsidRPr="00966BD4" w14:paraId="660C5165" w14:textId="77777777" w:rsidTr="00B43927">
        <w:trPr>
          <w:trHeight w:hRule="exact" w:val="225"/>
        </w:trPr>
        <w:tc>
          <w:tcPr>
            <w:tcW w:w="2182" w:type="pct"/>
            <w:tcBorders>
              <w:top w:val="nil"/>
              <w:left w:val="nil"/>
              <w:bottom w:val="nil"/>
              <w:right w:val="nil"/>
            </w:tcBorders>
            <w:shd w:val="clear" w:color="auto" w:fill="auto"/>
            <w:noWrap/>
            <w:vAlign w:val="center"/>
            <w:hideMark/>
          </w:tcPr>
          <w:p w14:paraId="2CE3D2BA"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Wine equalisation tax</w:t>
            </w:r>
          </w:p>
        </w:tc>
        <w:tc>
          <w:tcPr>
            <w:tcW w:w="727" w:type="pct"/>
            <w:tcBorders>
              <w:top w:val="nil"/>
              <w:left w:val="nil"/>
              <w:bottom w:val="nil"/>
              <w:right w:val="nil"/>
            </w:tcBorders>
            <w:shd w:val="clear" w:color="auto" w:fill="auto"/>
            <w:noWrap/>
            <w:vAlign w:val="center"/>
            <w:hideMark/>
          </w:tcPr>
          <w:p w14:paraId="3B17E9A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1,210</w:t>
            </w:r>
          </w:p>
        </w:tc>
        <w:tc>
          <w:tcPr>
            <w:tcW w:w="727" w:type="pct"/>
            <w:tcBorders>
              <w:top w:val="nil"/>
              <w:left w:val="nil"/>
              <w:bottom w:val="nil"/>
              <w:right w:val="nil"/>
            </w:tcBorders>
            <w:shd w:val="clear" w:color="000000" w:fill="E6F2FF"/>
            <w:noWrap/>
            <w:vAlign w:val="center"/>
            <w:hideMark/>
          </w:tcPr>
          <w:p w14:paraId="1F6AD14F"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1,170</w:t>
            </w:r>
          </w:p>
        </w:tc>
        <w:tc>
          <w:tcPr>
            <w:tcW w:w="51" w:type="pct"/>
            <w:tcBorders>
              <w:top w:val="nil"/>
              <w:left w:val="nil"/>
              <w:bottom w:val="nil"/>
              <w:right w:val="nil"/>
            </w:tcBorders>
            <w:shd w:val="clear" w:color="auto" w:fill="auto"/>
            <w:noWrap/>
            <w:vAlign w:val="center"/>
            <w:hideMark/>
          </w:tcPr>
          <w:p w14:paraId="5FEC74ED"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D4E8EE7" w14:textId="29035007"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40</w:t>
            </w:r>
          </w:p>
        </w:tc>
        <w:tc>
          <w:tcPr>
            <w:tcW w:w="657" w:type="pct"/>
            <w:tcBorders>
              <w:top w:val="nil"/>
              <w:left w:val="nil"/>
              <w:bottom w:val="nil"/>
              <w:right w:val="nil"/>
            </w:tcBorders>
            <w:shd w:val="clear" w:color="auto" w:fill="auto"/>
            <w:noWrap/>
            <w:vAlign w:val="center"/>
            <w:hideMark/>
          </w:tcPr>
          <w:p w14:paraId="19CCEF7D" w14:textId="54DEE04F"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3.3</w:t>
            </w:r>
          </w:p>
        </w:tc>
      </w:tr>
      <w:tr w:rsidR="00AB5336" w:rsidRPr="00966BD4" w14:paraId="780F642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19B785F"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Luxury car tax</w:t>
            </w:r>
          </w:p>
        </w:tc>
        <w:tc>
          <w:tcPr>
            <w:tcW w:w="727" w:type="pct"/>
            <w:tcBorders>
              <w:top w:val="nil"/>
              <w:left w:val="nil"/>
              <w:bottom w:val="nil"/>
              <w:right w:val="nil"/>
            </w:tcBorders>
            <w:shd w:val="clear" w:color="auto" w:fill="auto"/>
            <w:noWrap/>
            <w:vAlign w:val="center"/>
            <w:hideMark/>
          </w:tcPr>
          <w:p w14:paraId="44657E7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1,120</w:t>
            </w:r>
          </w:p>
        </w:tc>
        <w:tc>
          <w:tcPr>
            <w:tcW w:w="727" w:type="pct"/>
            <w:tcBorders>
              <w:top w:val="nil"/>
              <w:left w:val="nil"/>
              <w:bottom w:val="nil"/>
              <w:right w:val="nil"/>
            </w:tcBorders>
            <w:shd w:val="clear" w:color="000000" w:fill="E6F2FF"/>
            <w:noWrap/>
            <w:vAlign w:val="center"/>
            <w:hideMark/>
          </w:tcPr>
          <w:p w14:paraId="04B1B70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1,150</w:t>
            </w:r>
          </w:p>
        </w:tc>
        <w:tc>
          <w:tcPr>
            <w:tcW w:w="51" w:type="pct"/>
            <w:tcBorders>
              <w:top w:val="nil"/>
              <w:left w:val="nil"/>
              <w:bottom w:val="nil"/>
              <w:right w:val="nil"/>
            </w:tcBorders>
            <w:shd w:val="clear" w:color="auto" w:fill="auto"/>
            <w:noWrap/>
            <w:vAlign w:val="center"/>
            <w:hideMark/>
          </w:tcPr>
          <w:p w14:paraId="30C69EDF"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EC98E0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30</w:t>
            </w:r>
          </w:p>
        </w:tc>
        <w:tc>
          <w:tcPr>
            <w:tcW w:w="657" w:type="pct"/>
            <w:tcBorders>
              <w:top w:val="nil"/>
              <w:left w:val="nil"/>
              <w:bottom w:val="nil"/>
              <w:right w:val="nil"/>
            </w:tcBorders>
            <w:shd w:val="clear" w:color="auto" w:fill="auto"/>
            <w:noWrap/>
            <w:vAlign w:val="center"/>
            <w:hideMark/>
          </w:tcPr>
          <w:p w14:paraId="255990A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2.7</w:t>
            </w:r>
          </w:p>
        </w:tc>
      </w:tr>
      <w:tr w:rsidR="00AB5336" w:rsidRPr="00966BD4" w14:paraId="18E6B3CD"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18143CC"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 xml:space="preserve">Excise and customs duty  </w:t>
            </w:r>
          </w:p>
        </w:tc>
        <w:tc>
          <w:tcPr>
            <w:tcW w:w="727" w:type="pct"/>
            <w:tcBorders>
              <w:top w:val="nil"/>
              <w:left w:val="nil"/>
              <w:bottom w:val="nil"/>
              <w:right w:val="nil"/>
            </w:tcBorders>
            <w:shd w:val="clear" w:color="auto" w:fill="auto"/>
            <w:noWrap/>
            <w:vAlign w:val="center"/>
            <w:hideMark/>
          </w:tcPr>
          <w:p w14:paraId="57129BAF" w14:textId="77777777" w:rsidR="00AB5336" w:rsidRPr="00966BD4" w:rsidRDefault="00AB5336" w:rsidP="00AB5336">
            <w:pPr>
              <w:spacing w:before="0" w:after="0" w:line="240" w:lineRule="auto"/>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7FEB79B7"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07A9516D"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05A58477" w14:textId="77777777" w:rsidR="00AB5336" w:rsidRPr="00966BD4" w:rsidRDefault="00AB5336" w:rsidP="00AB5336">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39D76FBF" w14:textId="77777777" w:rsidR="00AB5336" w:rsidRPr="00966BD4" w:rsidRDefault="00AB5336" w:rsidP="00AB5336">
            <w:pPr>
              <w:spacing w:before="0" w:after="0" w:line="240" w:lineRule="auto"/>
              <w:jc w:val="right"/>
              <w:rPr>
                <w:rFonts w:ascii="Times New Roman" w:hAnsi="Times New Roman"/>
                <w:sz w:val="20"/>
              </w:rPr>
            </w:pPr>
          </w:p>
        </w:tc>
      </w:tr>
      <w:tr w:rsidR="00AB5336" w:rsidRPr="00966BD4" w14:paraId="5D37E8FE"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58C88E7"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Petrol</w:t>
            </w:r>
          </w:p>
        </w:tc>
        <w:tc>
          <w:tcPr>
            <w:tcW w:w="727" w:type="pct"/>
            <w:tcBorders>
              <w:top w:val="nil"/>
              <w:left w:val="nil"/>
              <w:bottom w:val="nil"/>
              <w:right w:val="nil"/>
            </w:tcBorders>
            <w:shd w:val="clear" w:color="auto" w:fill="auto"/>
            <w:noWrap/>
            <w:vAlign w:val="center"/>
            <w:hideMark/>
          </w:tcPr>
          <w:p w14:paraId="5B6CE00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5,600</w:t>
            </w:r>
          </w:p>
        </w:tc>
        <w:tc>
          <w:tcPr>
            <w:tcW w:w="727" w:type="pct"/>
            <w:tcBorders>
              <w:top w:val="nil"/>
              <w:left w:val="nil"/>
              <w:bottom w:val="nil"/>
              <w:right w:val="nil"/>
            </w:tcBorders>
            <w:shd w:val="clear" w:color="000000" w:fill="E6F2FF"/>
            <w:noWrap/>
            <w:vAlign w:val="center"/>
            <w:hideMark/>
          </w:tcPr>
          <w:p w14:paraId="7ADC66A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5,600</w:t>
            </w:r>
          </w:p>
        </w:tc>
        <w:tc>
          <w:tcPr>
            <w:tcW w:w="51" w:type="pct"/>
            <w:tcBorders>
              <w:top w:val="nil"/>
              <w:left w:val="nil"/>
              <w:bottom w:val="nil"/>
              <w:right w:val="nil"/>
            </w:tcBorders>
            <w:shd w:val="clear" w:color="auto" w:fill="auto"/>
            <w:noWrap/>
            <w:vAlign w:val="center"/>
            <w:hideMark/>
          </w:tcPr>
          <w:p w14:paraId="745A1DC1"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0346B47"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3604478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0.0</w:t>
            </w:r>
          </w:p>
        </w:tc>
      </w:tr>
      <w:tr w:rsidR="00AB5336" w:rsidRPr="00966BD4" w14:paraId="10F1733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44F23CE7"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Diesel</w:t>
            </w:r>
          </w:p>
        </w:tc>
        <w:tc>
          <w:tcPr>
            <w:tcW w:w="727" w:type="pct"/>
            <w:tcBorders>
              <w:top w:val="nil"/>
              <w:left w:val="nil"/>
              <w:bottom w:val="nil"/>
              <w:right w:val="nil"/>
            </w:tcBorders>
            <w:shd w:val="clear" w:color="auto" w:fill="auto"/>
            <w:noWrap/>
            <w:vAlign w:val="center"/>
            <w:hideMark/>
          </w:tcPr>
          <w:p w14:paraId="1C17419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13,220</w:t>
            </w:r>
          </w:p>
        </w:tc>
        <w:tc>
          <w:tcPr>
            <w:tcW w:w="727" w:type="pct"/>
            <w:tcBorders>
              <w:top w:val="nil"/>
              <w:left w:val="nil"/>
              <w:bottom w:val="nil"/>
              <w:right w:val="nil"/>
            </w:tcBorders>
            <w:shd w:val="clear" w:color="000000" w:fill="E6F2FF"/>
            <w:noWrap/>
            <w:vAlign w:val="center"/>
            <w:hideMark/>
          </w:tcPr>
          <w:p w14:paraId="433BDEE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13,160</w:t>
            </w:r>
          </w:p>
        </w:tc>
        <w:tc>
          <w:tcPr>
            <w:tcW w:w="51" w:type="pct"/>
            <w:tcBorders>
              <w:top w:val="nil"/>
              <w:left w:val="nil"/>
              <w:bottom w:val="nil"/>
              <w:right w:val="nil"/>
            </w:tcBorders>
            <w:shd w:val="clear" w:color="auto" w:fill="auto"/>
            <w:noWrap/>
            <w:vAlign w:val="center"/>
            <w:hideMark/>
          </w:tcPr>
          <w:p w14:paraId="6AE2FB5D"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0D20883" w14:textId="6ABCD9A2"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349D4875" w14:textId="1CBF8EE3"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0.5</w:t>
            </w:r>
          </w:p>
        </w:tc>
      </w:tr>
      <w:tr w:rsidR="00AB5336" w:rsidRPr="00966BD4" w14:paraId="7185F562" w14:textId="77777777" w:rsidTr="00B43927">
        <w:trPr>
          <w:trHeight w:hRule="exact" w:val="225"/>
        </w:trPr>
        <w:tc>
          <w:tcPr>
            <w:tcW w:w="2182" w:type="pct"/>
            <w:tcBorders>
              <w:top w:val="nil"/>
              <w:left w:val="nil"/>
              <w:bottom w:val="nil"/>
              <w:right w:val="nil"/>
            </w:tcBorders>
            <w:shd w:val="clear" w:color="auto" w:fill="auto"/>
            <w:noWrap/>
            <w:vAlign w:val="center"/>
            <w:hideMark/>
          </w:tcPr>
          <w:p w14:paraId="19DCEB9B"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Other fuel products</w:t>
            </w:r>
          </w:p>
        </w:tc>
        <w:tc>
          <w:tcPr>
            <w:tcW w:w="727" w:type="pct"/>
            <w:tcBorders>
              <w:top w:val="nil"/>
              <w:left w:val="nil"/>
              <w:bottom w:val="nil"/>
              <w:right w:val="nil"/>
            </w:tcBorders>
            <w:shd w:val="clear" w:color="auto" w:fill="auto"/>
            <w:noWrap/>
            <w:vAlign w:val="center"/>
            <w:hideMark/>
          </w:tcPr>
          <w:p w14:paraId="4B4753C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2,700</w:t>
            </w:r>
          </w:p>
        </w:tc>
        <w:tc>
          <w:tcPr>
            <w:tcW w:w="727" w:type="pct"/>
            <w:tcBorders>
              <w:top w:val="nil"/>
              <w:left w:val="nil"/>
              <w:bottom w:val="nil"/>
              <w:right w:val="nil"/>
            </w:tcBorders>
            <w:shd w:val="clear" w:color="000000" w:fill="E6F2FF"/>
            <w:noWrap/>
            <w:vAlign w:val="center"/>
            <w:hideMark/>
          </w:tcPr>
          <w:p w14:paraId="0A64E0A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2,760</w:t>
            </w:r>
          </w:p>
        </w:tc>
        <w:tc>
          <w:tcPr>
            <w:tcW w:w="51" w:type="pct"/>
            <w:tcBorders>
              <w:top w:val="nil"/>
              <w:left w:val="nil"/>
              <w:bottom w:val="nil"/>
              <w:right w:val="nil"/>
            </w:tcBorders>
            <w:shd w:val="clear" w:color="auto" w:fill="auto"/>
            <w:noWrap/>
            <w:vAlign w:val="center"/>
            <w:hideMark/>
          </w:tcPr>
          <w:p w14:paraId="5B0BB385"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AF2E66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60</w:t>
            </w:r>
          </w:p>
        </w:tc>
        <w:tc>
          <w:tcPr>
            <w:tcW w:w="657" w:type="pct"/>
            <w:tcBorders>
              <w:top w:val="nil"/>
              <w:left w:val="nil"/>
              <w:bottom w:val="nil"/>
              <w:right w:val="nil"/>
            </w:tcBorders>
            <w:shd w:val="clear" w:color="auto" w:fill="auto"/>
            <w:noWrap/>
            <w:vAlign w:val="center"/>
            <w:hideMark/>
          </w:tcPr>
          <w:p w14:paraId="037D1B1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2.2</w:t>
            </w:r>
          </w:p>
        </w:tc>
      </w:tr>
      <w:tr w:rsidR="00AB5336" w:rsidRPr="00966BD4" w14:paraId="3B5B5C79" w14:textId="77777777" w:rsidTr="00B43927">
        <w:trPr>
          <w:trHeight w:hRule="exact" w:val="225"/>
        </w:trPr>
        <w:tc>
          <w:tcPr>
            <w:tcW w:w="2182" w:type="pct"/>
            <w:tcBorders>
              <w:top w:val="nil"/>
              <w:left w:val="nil"/>
              <w:bottom w:val="nil"/>
              <w:right w:val="nil"/>
            </w:tcBorders>
            <w:shd w:val="clear" w:color="auto" w:fill="auto"/>
            <w:noWrap/>
            <w:vAlign w:val="center"/>
            <w:hideMark/>
          </w:tcPr>
          <w:p w14:paraId="3B23A63D"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Tobacco</w:t>
            </w:r>
          </w:p>
        </w:tc>
        <w:tc>
          <w:tcPr>
            <w:tcW w:w="727" w:type="pct"/>
            <w:tcBorders>
              <w:top w:val="nil"/>
              <w:left w:val="nil"/>
              <w:bottom w:val="nil"/>
              <w:right w:val="nil"/>
            </w:tcBorders>
            <w:shd w:val="clear" w:color="auto" w:fill="auto"/>
            <w:noWrap/>
            <w:vAlign w:val="center"/>
            <w:hideMark/>
          </w:tcPr>
          <w:p w14:paraId="61AD52E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12,400</w:t>
            </w:r>
          </w:p>
        </w:tc>
        <w:tc>
          <w:tcPr>
            <w:tcW w:w="727" w:type="pct"/>
            <w:tcBorders>
              <w:top w:val="nil"/>
              <w:left w:val="nil"/>
              <w:bottom w:val="nil"/>
              <w:right w:val="nil"/>
            </w:tcBorders>
            <w:shd w:val="clear" w:color="000000" w:fill="E6F2FF"/>
            <w:noWrap/>
            <w:vAlign w:val="center"/>
            <w:hideMark/>
          </w:tcPr>
          <w:p w14:paraId="5151E1C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12,700</w:t>
            </w:r>
          </w:p>
        </w:tc>
        <w:tc>
          <w:tcPr>
            <w:tcW w:w="51" w:type="pct"/>
            <w:tcBorders>
              <w:top w:val="nil"/>
              <w:left w:val="nil"/>
              <w:bottom w:val="nil"/>
              <w:right w:val="nil"/>
            </w:tcBorders>
            <w:shd w:val="clear" w:color="auto" w:fill="auto"/>
            <w:noWrap/>
            <w:vAlign w:val="center"/>
            <w:hideMark/>
          </w:tcPr>
          <w:p w14:paraId="4D4F46D0"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55C8A4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300</w:t>
            </w:r>
          </w:p>
        </w:tc>
        <w:tc>
          <w:tcPr>
            <w:tcW w:w="657" w:type="pct"/>
            <w:tcBorders>
              <w:top w:val="nil"/>
              <w:left w:val="nil"/>
              <w:bottom w:val="nil"/>
              <w:right w:val="nil"/>
            </w:tcBorders>
            <w:shd w:val="clear" w:color="auto" w:fill="auto"/>
            <w:noWrap/>
            <w:vAlign w:val="center"/>
            <w:hideMark/>
          </w:tcPr>
          <w:p w14:paraId="7A30C0A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2.4</w:t>
            </w:r>
          </w:p>
        </w:tc>
      </w:tr>
      <w:tr w:rsidR="00AB5336" w:rsidRPr="00966BD4" w14:paraId="517ABFFE" w14:textId="77777777" w:rsidTr="00B43927">
        <w:trPr>
          <w:trHeight w:hRule="exact" w:val="225"/>
        </w:trPr>
        <w:tc>
          <w:tcPr>
            <w:tcW w:w="2182" w:type="pct"/>
            <w:tcBorders>
              <w:top w:val="nil"/>
              <w:left w:val="nil"/>
              <w:bottom w:val="nil"/>
              <w:right w:val="nil"/>
            </w:tcBorders>
            <w:shd w:val="clear" w:color="auto" w:fill="auto"/>
            <w:noWrap/>
            <w:vAlign w:val="center"/>
            <w:hideMark/>
          </w:tcPr>
          <w:p w14:paraId="3AF76267"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Beer</w:t>
            </w:r>
          </w:p>
        </w:tc>
        <w:tc>
          <w:tcPr>
            <w:tcW w:w="727" w:type="pct"/>
            <w:tcBorders>
              <w:top w:val="nil"/>
              <w:left w:val="nil"/>
              <w:bottom w:val="nil"/>
              <w:right w:val="nil"/>
            </w:tcBorders>
            <w:shd w:val="clear" w:color="auto" w:fill="auto"/>
            <w:noWrap/>
            <w:vAlign w:val="center"/>
            <w:hideMark/>
          </w:tcPr>
          <w:p w14:paraId="3F86D81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2,650</w:t>
            </w:r>
          </w:p>
        </w:tc>
        <w:tc>
          <w:tcPr>
            <w:tcW w:w="727" w:type="pct"/>
            <w:tcBorders>
              <w:top w:val="nil"/>
              <w:left w:val="nil"/>
              <w:bottom w:val="nil"/>
              <w:right w:val="nil"/>
            </w:tcBorders>
            <w:shd w:val="clear" w:color="000000" w:fill="E6F2FF"/>
            <w:noWrap/>
            <w:vAlign w:val="center"/>
            <w:hideMark/>
          </w:tcPr>
          <w:p w14:paraId="331CDFE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2,620</w:t>
            </w:r>
          </w:p>
        </w:tc>
        <w:tc>
          <w:tcPr>
            <w:tcW w:w="51" w:type="pct"/>
            <w:tcBorders>
              <w:top w:val="nil"/>
              <w:left w:val="nil"/>
              <w:bottom w:val="nil"/>
              <w:right w:val="nil"/>
            </w:tcBorders>
            <w:shd w:val="clear" w:color="auto" w:fill="auto"/>
            <w:noWrap/>
            <w:vAlign w:val="center"/>
            <w:hideMark/>
          </w:tcPr>
          <w:p w14:paraId="75C713FB"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1568DAD" w14:textId="5E10BFDF"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30</w:t>
            </w:r>
          </w:p>
        </w:tc>
        <w:tc>
          <w:tcPr>
            <w:tcW w:w="657" w:type="pct"/>
            <w:tcBorders>
              <w:top w:val="nil"/>
              <w:left w:val="nil"/>
              <w:bottom w:val="nil"/>
              <w:right w:val="nil"/>
            </w:tcBorders>
            <w:shd w:val="clear" w:color="auto" w:fill="auto"/>
            <w:noWrap/>
            <w:vAlign w:val="center"/>
            <w:hideMark/>
          </w:tcPr>
          <w:p w14:paraId="20860BAD" w14:textId="14FA8851"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1.1</w:t>
            </w:r>
          </w:p>
        </w:tc>
      </w:tr>
      <w:tr w:rsidR="00AB5336" w:rsidRPr="00966BD4" w14:paraId="31FD3635"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D244C70"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Spirits</w:t>
            </w:r>
          </w:p>
        </w:tc>
        <w:tc>
          <w:tcPr>
            <w:tcW w:w="727" w:type="pct"/>
            <w:tcBorders>
              <w:top w:val="nil"/>
              <w:left w:val="nil"/>
              <w:bottom w:val="nil"/>
              <w:right w:val="nil"/>
            </w:tcBorders>
            <w:shd w:val="clear" w:color="auto" w:fill="auto"/>
            <w:noWrap/>
            <w:vAlign w:val="center"/>
            <w:hideMark/>
          </w:tcPr>
          <w:p w14:paraId="2495445F"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3,480</w:t>
            </w:r>
          </w:p>
        </w:tc>
        <w:tc>
          <w:tcPr>
            <w:tcW w:w="727" w:type="pct"/>
            <w:tcBorders>
              <w:top w:val="nil"/>
              <w:left w:val="nil"/>
              <w:bottom w:val="nil"/>
              <w:right w:val="nil"/>
            </w:tcBorders>
            <w:shd w:val="clear" w:color="000000" w:fill="E6F2FF"/>
            <w:noWrap/>
            <w:vAlign w:val="center"/>
            <w:hideMark/>
          </w:tcPr>
          <w:p w14:paraId="0D6CC8B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3,390</w:t>
            </w:r>
          </w:p>
        </w:tc>
        <w:tc>
          <w:tcPr>
            <w:tcW w:w="51" w:type="pct"/>
            <w:tcBorders>
              <w:top w:val="nil"/>
              <w:left w:val="nil"/>
              <w:bottom w:val="nil"/>
              <w:right w:val="nil"/>
            </w:tcBorders>
            <w:shd w:val="clear" w:color="auto" w:fill="auto"/>
            <w:noWrap/>
            <w:vAlign w:val="center"/>
            <w:hideMark/>
          </w:tcPr>
          <w:p w14:paraId="215C7337"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2BCC5F1" w14:textId="08CE4456"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90</w:t>
            </w:r>
          </w:p>
        </w:tc>
        <w:tc>
          <w:tcPr>
            <w:tcW w:w="657" w:type="pct"/>
            <w:tcBorders>
              <w:top w:val="nil"/>
              <w:left w:val="nil"/>
              <w:bottom w:val="nil"/>
              <w:right w:val="nil"/>
            </w:tcBorders>
            <w:shd w:val="clear" w:color="auto" w:fill="auto"/>
            <w:noWrap/>
            <w:vAlign w:val="center"/>
            <w:hideMark/>
          </w:tcPr>
          <w:p w14:paraId="4F029AE6" w14:textId="2F3836FF"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2.6</w:t>
            </w:r>
          </w:p>
        </w:tc>
      </w:tr>
      <w:tr w:rsidR="00AB5336" w:rsidRPr="00966BD4" w14:paraId="7F730B8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5A156220"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Other alcoholic beverages(a)</w:t>
            </w:r>
          </w:p>
        </w:tc>
        <w:tc>
          <w:tcPr>
            <w:tcW w:w="727" w:type="pct"/>
            <w:tcBorders>
              <w:top w:val="nil"/>
              <w:left w:val="nil"/>
              <w:bottom w:val="nil"/>
              <w:right w:val="nil"/>
            </w:tcBorders>
            <w:shd w:val="clear" w:color="auto" w:fill="auto"/>
            <w:noWrap/>
            <w:vAlign w:val="center"/>
            <w:hideMark/>
          </w:tcPr>
          <w:p w14:paraId="01623B6C"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1,500</w:t>
            </w:r>
          </w:p>
        </w:tc>
        <w:tc>
          <w:tcPr>
            <w:tcW w:w="727" w:type="pct"/>
            <w:tcBorders>
              <w:top w:val="nil"/>
              <w:left w:val="nil"/>
              <w:bottom w:val="nil"/>
              <w:right w:val="nil"/>
            </w:tcBorders>
            <w:shd w:val="clear" w:color="000000" w:fill="E6F2FF"/>
            <w:noWrap/>
            <w:vAlign w:val="center"/>
            <w:hideMark/>
          </w:tcPr>
          <w:p w14:paraId="308E50E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1,640</w:t>
            </w:r>
          </w:p>
        </w:tc>
        <w:tc>
          <w:tcPr>
            <w:tcW w:w="51" w:type="pct"/>
            <w:tcBorders>
              <w:top w:val="nil"/>
              <w:left w:val="nil"/>
              <w:bottom w:val="nil"/>
              <w:right w:val="nil"/>
            </w:tcBorders>
            <w:shd w:val="clear" w:color="auto" w:fill="auto"/>
            <w:noWrap/>
            <w:vAlign w:val="center"/>
            <w:hideMark/>
          </w:tcPr>
          <w:p w14:paraId="5EC1E636"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FA9917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140</w:t>
            </w:r>
          </w:p>
        </w:tc>
        <w:tc>
          <w:tcPr>
            <w:tcW w:w="657" w:type="pct"/>
            <w:tcBorders>
              <w:top w:val="nil"/>
              <w:left w:val="nil"/>
              <w:bottom w:val="nil"/>
              <w:right w:val="nil"/>
            </w:tcBorders>
            <w:shd w:val="clear" w:color="auto" w:fill="auto"/>
            <w:noWrap/>
            <w:vAlign w:val="center"/>
            <w:hideMark/>
          </w:tcPr>
          <w:p w14:paraId="373ECE0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9.3</w:t>
            </w:r>
          </w:p>
        </w:tc>
      </w:tr>
      <w:tr w:rsidR="00AB5336" w:rsidRPr="00966BD4" w14:paraId="43282563" w14:textId="77777777" w:rsidTr="00B43927">
        <w:trPr>
          <w:trHeight w:hRule="exact" w:val="225"/>
        </w:trPr>
        <w:tc>
          <w:tcPr>
            <w:tcW w:w="2182" w:type="pct"/>
            <w:tcBorders>
              <w:top w:val="nil"/>
              <w:left w:val="nil"/>
              <w:bottom w:val="nil"/>
              <w:right w:val="nil"/>
            </w:tcBorders>
            <w:shd w:val="clear" w:color="auto" w:fill="auto"/>
            <w:noWrap/>
            <w:vAlign w:val="center"/>
            <w:hideMark/>
          </w:tcPr>
          <w:p w14:paraId="7B8D44B4"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Other customs duty</w:t>
            </w:r>
          </w:p>
        </w:tc>
        <w:tc>
          <w:tcPr>
            <w:tcW w:w="727" w:type="pct"/>
            <w:tcBorders>
              <w:top w:val="nil"/>
              <w:left w:val="nil"/>
              <w:bottom w:val="nil"/>
              <w:right w:val="nil"/>
            </w:tcBorders>
            <w:shd w:val="clear" w:color="auto" w:fill="auto"/>
            <w:noWrap/>
            <w:vAlign w:val="center"/>
            <w:hideMark/>
          </w:tcPr>
          <w:p w14:paraId="75919C82" w14:textId="77777777" w:rsidR="00AB5336" w:rsidRPr="00966BD4" w:rsidRDefault="00AB5336" w:rsidP="00AB5336">
            <w:pPr>
              <w:spacing w:before="0" w:after="0" w:line="240" w:lineRule="auto"/>
              <w:ind w:firstLineChars="100" w:firstLine="160"/>
              <w:rPr>
                <w:rFonts w:ascii="Arial" w:hAnsi="Arial" w:cs="Arial"/>
                <w:sz w:val="16"/>
                <w:szCs w:val="16"/>
              </w:rPr>
            </w:pPr>
          </w:p>
        </w:tc>
        <w:tc>
          <w:tcPr>
            <w:tcW w:w="727" w:type="pct"/>
            <w:tcBorders>
              <w:top w:val="nil"/>
              <w:left w:val="nil"/>
              <w:bottom w:val="nil"/>
              <w:right w:val="nil"/>
            </w:tcBorders>
            <w:shd w:val="clear" w:color="000000" w:fill="E6F2FF"/>
            <w:noWrap/>
            <w:vAlign w:val="center"/>
            <w:hideMark/>
          </w:tcPr>
          <w:p w14:paraId="6E2E0F73"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 </w:t>
            </w:r>
          </w:p>
        </w:tc>
        <w:tc>
          <w:tcPr>
            <w:tcW w:w="51" w:type="pct"/>
            <w:tcBorders>
              <w:top w:val="nil"/>
              <w:left w:val="nil"/>
              <w:bottom w:val="nil"/>
              <w:right w:val="nil"/>
            </w:tcBorders>
            <w:shd w:val="clear" w:color="auto" w:fill="auto"/>
            <w:noWrap/>
            <w:vAlign w:val="center"/>
            <w:hideMark/>
          </w:tcPr>
          <w:p w14:paraId="7813A217" w14:textId="77777777" w:rsidR="00AB5336" w:rsidRPr="00966BD4" w:rsidRDefault="00AB5336" w:rsidP="00AB5336">
            <w:pPr>
              <w:spacing w:before="0" w:after="0" w:line="240" w:lineRule="auto"/>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243E3B2D" w14:textId="77777777" w:rsidR="00AB5336" w:rsidRPr="00966BD4" w:rsidRDefault="00AB5336" w:rsidP="00AB5336">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0270F9B4" w14:textId="77777777" w:rsidR="00AB5336" w:rsidRPr="00966BD4" w:rsidRDefault="00AB5336" w:rsidP="00AB5336">
            <w:pPr>
              <w:spacing w:before="0" w:after="0" w:line="240" w:lineRule="auto"/>
              <w:jc w:val="right"/>
              <w:rPr>
                <w:rFonts w:ascii="Times New Roman" w:hAnsi="Times New Roman"/>
                <w:sz w:val="20"/>
              </w:rPr>
            </w:pPr>
          </w:p>
        </w:tc>
      </w:tr>
      <w:tr w:rsidR="00AB5336" w:rsidRPr="00966BD4" w14:paraId="395F1D6E" w14:textId="77777777" w:rsidTr="00B43927">
        <w:trPr>
          <w:trHeight w:hRule="exact" w:val="225"/>
        </w:trPr>
        <w:tc>
          <w:tcPr>
            <w:tcW w:w="2182" w:type="pct"/>
            <w:tcBorders>
              <w:top w:val="nil"/>
              <w:left w:val="nil"/>
              <w:bottom w:val="nil"/>
              <w:right w:val="nil"/>
            </w:tcBorders>
            <w:shd w:val="clear" w:color="auto" w:fill="auto"/>
            <w:noWrap/>
            <w:vAlign w:val="bottom"/>
            <w:hideMark/>
          </w:tcPr>
          <w:p w14:paraId="762F2D3E"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 xml:space="preserve">    Textiles, clothing and footwear</w:t>
            </w:r>
          </w:p>
        </w:tc>
        <w:tc>
          <w:tcPr>
            <w:tcW w:w="727" w:type="pct"/>
            <w:tcBorders>
              <w:top w:val="nil"/>
              <w:left w:val="nil"/>
              <w:bottom w:val="nil"/>
              <w:right w:val="nil"/>
            </w:tcBorders>
            <w:shd w:val="clear" w:color="auto" w:fill="auto"/>
            <w:noWrap/>
            <w:vAlign w:val="center"/>
            <w:hideMark/>
          </w:tcPr>
          <w:p w14:paraId="0AE7920C"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180</w:t>
            </w:r>
          </w:p>
        </w:tc>
        <w:tc>
          <w:tcPr>
            <w:tcW w:w="727" w:type="pct"/>
            <w:tcBorders>
              <w:top w:val="nil"/>
              <w:left w:val="nil"/>
              <w:bottom w:val="nil"/>
              <w:right w:val="nil"/>
            </w:tcBorders>
            <w:shd w:val="clear" w:color="000000" w:fill="E6F2FF"/>
            <w:noWrap/>
            <w:vAlign w:val="center"/>
            <w:hideMark/>
          </w:tcPr>
          <w:p w14:paraId="70DA86D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190</w:t>
            </w:r>
          </w:p>
        </w:tc>
        <w:tc>
          <w:tcPr>
            <w:tcW w:w="51" w:type="pct"/>
            <w:tcBorders>
              <w:top w:val="nil"/>
              <w:left w:val="nil"/>
              <w:bottom w:val="nil"/>
              <w:right w:val="nil"/>
            </w:tcBorders>
            <w:shd w:val="clear" w:color="auto" w:fill="auto"/>
            <w:noWrap/>
            <w:vAlign w:val="center"/>
            <w:hideMark/>
          </w:tcPr>
          <w:p w14:paraId="0A73AD97"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2D7386C"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10</w:t>
            </w:r>
          </w:p>
        </w:tc>
        <w:tc>
          <w:tcPr>
            <w:tcW w:w="657" w:type="pct"/>
            <w:tcBorders>
              <w:top w:val="nil"/>
              <w:left w:val="nil"/>
              <w:bottom w:val="nil"/>
              <w:right w:val="nil"/>
            </w:tcBorders>
            <w:shd w:val="clear" w:color="auto" w:fill="auto"/>
            <w:noWrap/>
            <w:vAlign w:val="center"/>
            <w:hideMark/>
          </w:tcPr>
          <w:p w14:paraId="659C546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5.6</w:t>
            </w:r>
          </w:p>
        </w:tc>
      </w:tr>
      <w:tr w:rsidR="00AB5336" w:rsidRPr="00966BD4" w14:paraId="3E93259E" w14:textId="77777777" w:rsidTr="00B43927">
        <w:trPr>
          <w:trHeight w:hRule="exact" w:val="225"/>
        </w:trPr>
        <w:tc>
          <w:tcPr>
            <w:tcW w:w="2182" w:type="pct"/>
            <w:tcBorders>
              <w:top w:val="nil"/>
              <w:left w:val="nil"/>
              <w:bottom w:val="nil"/>
              <w:right w:val="nil"/>
            </w:tcBorders>
            <w:shd w:val="clear" w:color="auto" w:fill="auto"/>
            <w:noWrap/>
            <w:vAlign w:val="bottom"/>
            <w:hideMark/>
          </w:tcPr>
          <w:p w14:paraId="10F8E446"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 xml:space="preserve">    Passenger motor vehicles</w:t>
            </w:r>
          </w:p>
        </w:tc>
        <w:tc>
          <w:tcPr>
            <w:tcW w:w="727" w:type="pct"/>
            <w:tcBorders>
              <w:top w:val="nil"/>
              <w:left w:val="nil"/>
              <w:bottom w:val="nil"/>
              <w:right w:val="nil"/>
            </w:tcBorders>
            <w:shd w:val="clear" w:color="auto" w:fill="auto"/>
            <w:noWrap/>
            <w:vAlign w:val="center"/>
            <w:hideMark/>
          </w:tcPr>
          <w:p w14:paraId="375A06B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420</w:t>
            </w:r>
          </w:p>
        </w:tc>
        <w:tc>
          <w:tcPr>
            <w:tcW w:w="727" w:type="pct"/>
            <w:tcBorders>
              <w:top w:val="nil"/>
              <w:left w:val="nil"/>
              <w:bottom w:val="nil"/>
              <w:right w:val="nil"/>
            </w:tcBorders>
            <w:shd w:val="clear" w:color="000000" w:fill="E6F2FF"/>
            <w:noWrap/>
            <w:vAlign w:val="center"/>
            <w:hideMark/>
          </w:tcPr>
          <w:p w14:paraId="13C006D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440</w:t>
            </w:r>
          </w:p>
        </w:tc>
        <w:tc>
          <w:tcPr>
            <w:tcW w:w="51" w:type="pct"/>
            <w:tcBorders>
              <w:top w:val="nil"/>
              <w:left w:val="nil"/>
              <w:bottom w:val="nil"/>
              <w:right w:val="nil"/>
            </w:tcBorders>
            <w:shd w:val="clear" w:color="auto" w:fill="auto"/>
            <w:noWrap/>
            <w:vAlign w:val="center"/>
            <w:hideMark/>
          </w:tcPr>
          <w:p w14:paraId="48D39C68"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792418FF"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20</w:t>
            </w:r>
          </w:p>
        </w:tc>
        <w:tc>
          <w:tcPr>
            <w:tcW w:w="657" w:type="pct"/>
            <w:tcBorders>
              <w:top w:val="nil"/>
              <w:left w:val="nil"/>
              <w:bottom w:val="nil"/>
              <w:right w:val="nil"/>
            </w:tcBorders>
            <w:shd w:val="clear" w:color="auto" w:fill="auto"/>
            <w:noWrap/>
            <w:vAlign w:val="center"/>
            <w:hideMark/>
          </w:tcPr>
          <w:p w14:paraId="78DFD8F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4.8</w:t>
            </w:r>
          </w:p>
        </w:tc>
      </w:tr>
      <w:tr w:rsidR="00AB5336" w:rsidRPr="00966BD4" w14:paraId="7252B1BF" w14:textId="77777777" w:rsidTr="00B43927">
        <w:trPr>
          <w:trHeight w:hRule="exact" w:val="225"/>
        </w:trPr>
        <w:tc>
          <w:tcPr>
            <w:tcW w:w="2182" w:type="pct"/>
            <w:tcBorders>
              <w:top w:val="nil"/>
              <w:left w:val="nil"/>
              <w:bottom w:val="nil"/>
              <w:right w:val="nil"/>
            </w:tcBorders>
            <w:shd w:val="clear" w:color="auto" w:fill="auto"/>
            <w:noWrap/>
            <w:vAlign w:val="center"/>
            <w:hideMark/>
          </w:tcPr>
          <w:p w14:paraId="2E16E68E" w14:textId="77777777" w:rsidR="00AB5336" w:rsidRPr="00966BD4" w:rsidRDefault="00AB5336" w:rsidP="00B43927">
            <w:pPr>
              <w:spacing w:before="0" w:after="0" w:line="240" w:lineRule="auto"/>
              <w:ind w:left="170"/>
              <w:rPr>
                <w:rFonts w:ascii="Arial" w:hAnsi="Arial" w:cs="Arial"/>
                <w:sz w:val="16"/>
                <w:szCs w:val="16"/>
              </w:rPr>
            </w:pPr>
            <w:r w:rsidRPr="00966BD4">
              <w:rPr>
                <w:rFonts w:ascii="Arial" w:hAnsi="Arial" w:cs="Arial"/>
                <w:sz w:val="16"/>
                <w:szCs w:val="16"/>
              </w:rPr>
              <w:t xml:space="preserve">    Other imports</w:t>
            </w:r>
          </w:p>
        </w:tc>
        <w:tc>
          <w:tcPr>
            <w:tcW w:w="727" w:type="pct"/>
            <w:tcBorders>
              <w:top w:val="nil"/>
              <w:left w:val="nil"/>
              <w:bottom w:val="nil"/>
              <w:right w:val="nil"/>
            </w:tcBorders>
            <w:shd w:val="clear" w:color="auto" w:fill="auto"/>
            <w:noWrap/>
            <w:vAlign w:val="center"/>
            <w:hideMark/>
          </w:tcPr>
          <w:p w14:paraId="3F97AC5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1,440</w:t>
            </w:r>
          </w:p>
        </w:tc>
        <w:tc>
          <w:tcPr>
            <w:tcW w:w="727" w:type="pct"/>
            <w:tcBorders>
              <w:top w:val="nil"/>
              <w:left w:val="nil"/>
              <w:bottom w:val="nil"/>
              <w:right w:val="nil"/>
            </w:tcBorders>
            <w:shd w:val="clear" w:color="000000" w:fill="E6F2FF"/>
            <w:noWrap/>
            <w:vAlign w:val="center"/>
            <w:hideMark/>
          </w:tcPr>
          <w:p w14:paraId="38BBDF9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1,530</w:t>
            </w:r>
          </w:p>
        </w:tc>
        <w:tc>
          <w:tcPr>
            <w:tcW w:w="51" w:type="pct"/>
            <w:tcBorders>
              <w:top w:val="nil"/>
              <w:left w:val="nil"/>
              <w:bottom w:val="nil"/>
              <w:right w:val="nil"/>
            </w:tcBorders>
            <w:shd w:val="clear" w:color="auto" w:fill="auto"/>
            <w:noWrap/>
            <w:vAlign w:val="center"/>
            <w:hideMark/>
          </w:tcPr>
          <w:p w14:paraId="1A7CCCF1"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0CEF86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90</w:t>
            </w:r>
          </w:p>
        </w:tc>
        <w:tc>
          <w:tcPr>
            <w:tcW w:w="657" w:type="pct"/>
            <w:tcBorders>
              <w:top w:val="nil"/>
              <w:left w:val="nil"/>
              <w:bottom w:val="nil"/>
              <w:right w:val="nil"/>
            </w:tcBorders>
            <w:shd w:val="clear" w:color="auto" w:fill="auto"/>
            <w:noWrap/>
            <w:vAlign w:val="center"/>
            <w:hideMark/>
          </w:tcPr>
          <w:p w14:paraId="5F1CE38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6.3</w:t>
            </w:r>
          </w:p>
        </w:tc>
      </w:tr>
      <w:tr w:rsidR="00AB5336" w:rsidRPr="00966BD4" w14:paraId="7DF2A15A" w14:textId="77777777" w:rsidTr="00B43927">
        <w:trPr>
          <w:trHeight w:hRule="exact" w:val="225"/>
        </w:trPr>
        <w:tc>
          <w:tcPr>
            <w:tcW w:w="2182" w:type="pct"/>
            <w:tcBorders>
              <w:top w:val="nil"/>
              <w:left w:val="nil"/>
              <w:bottom w:val="nil"/>
              <w:right w:val="nil"/>
            </w:tcBorders>
            <w:shd w:val="clear" w:color="auto" w:fill="auto"/>
            <w:noWrap/>
            <w:vAlign w:val="bottom"/>
            <w:hideMark/>
          </w:tcPr>
          <w:p w14:paraId="6979F38E" w14:textId="77777777" w:rsidR="00AB5336" w:rsidRPr="00966BD4" w:rsidRDefault="00AB5336" w:rsidP="00B43927">
            <w:pPr>
              <w:spacing w:before="0" w:after="0" w:line="240" w:lineRule="auto"/>
              <w:ind w:left="170"/>
              <w:rPr>
                <w:rFonts w:ascii="Arial" w:hAnsi="Arial" w:cs="Arial"/>
                <w:i/>
                <w:iCs/>
                <w:sz w:val="16"/>
                <w:szCs w:val="16"/>
              </w:rPr>
            </w:pPr>
            <w:r w:rsidRPr="00966BD4">
              <w:rPr>
                <w:rFonts w:ascii="Arial" w:hAnsi="Arial" w:cs="Arial"/>
                <w:i/>
                <w:iCs/>
                <w:sz w:val="16"/>
                <w:szCs w:val="16"/>
              </w:rPr>
              <w:t xml:space="preserve">less: </w:t>
            </w:r>
            <w:r w:rsidRPr="00966BD4">
              <w:rPr>
                <w:rFonts w:ascii="Arial" w:hAnsi="Arial" w:cs="Arial"/>
                <w:sz w:val="16"/>
                <w:szCs w:val="16"/>
              </w:rPr>
              <w:t>Refunds and drawbacks</w:t>
            </w:r>
          </w:p>
        </w:tc>
        <w:tc>
          <w:tcPr>
            <w:tcW w:w="727" w:type="pct"/>
            <w:tcBorders>
              <w:top w:val="nil"/>
              <w:left w:val="nil"/>
              <w:bottom w:val="nil"/>
              <w:right w:val="nil"/>
            </w:tcBorders>
            <w:shd w:val="clear" w:color="auto" w:fill="auto"/>
            <w:noWrap/>
            <w:vAlign w:val="center"/>
            <w:hideMark/>
          </w:tcPr>
          <w:p w14:paraId="06818281"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700</w:t>
            </w:r>
          </w:p>
        </w:tc>
        <w:tc>
          <w:tcPr>
            <w:tcW w:w="727" w:type="pct"/>
            <w:tcBorders>
              <w:top w:val="nil"/>
              <w:left w:val="nil"/>
              <w:bottom w:val="nil"/>
              <w:right w:val="nil"/>
            </w:tcBorders>
            <w:shd w:val="clear" w:color="000000" w:fill="E6F2FF"/>
            <w:noWrap/>
            <w:vAlign w:val="center"/>
            <w:hideMark/>
          </w:tcPr>
          <w:p w14:paraId="3178424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700</w:t>
            </w:r>
          </w:p>
        </w:tc>
        <w:tc>
          <w:tcPr>
            <w:tcW w:w="51" w:type="pct"/>
            <w:tcBorders>
              <w:top w:val="nil"/>
              <w:left w:val="nil"/>
              <w:bottom w:val="nil"/>
              <w:right w:val="nil"/>
            </w:tcBorders>
            <w:shd w:val="clear" w:color="auto" w:fill="auto"/>
            <w:noWrap/>
            <w:vAlign w:val="center"/>
            <w:hideMark/>
          </w:tcPr>
          <w:p w14:paraId="6D92F567"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9DD744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0</w:t>
            </w:r>
          </w:p>
        </w:tc>
        <w:tc>
          <w:tcPr>
            <w:tcW w:w="657" w:type="pct"/>
            <w:tcBorders>
              <w:top w:val="nil"/>
              <w:left w:val="nil"/>
              <w:bottom w:val="nil"/>
              <w:right w:val="nil"/>
            </w:tcBorders>
            <w:shd w:val="clear" w:color="auto" w:fill="auto"/>
            <w:noWrap/>
            <w:vAlign w:val="center"/>
            <w:hideMark/>
          </w:tcPr>
          <w:p w14:paraId="7FC32F1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0.0</w:t>
            </w:r>
          </w:p>
        </w:tc>
      </w:tr>
      <w:tr w:rsidR="00AB5336" w:rsidRPr="00966BD4" w14:paraId="3AD3A0D3" w14:textId="77777777" w:rsidTr="00B43927">
        <w:trPr>
          <w:trHeight w:hRule="exact" w:val="225"/>
        </w:trPr>
        <w:tc>
          <w:tcPr>
            <w:tcW w:w="2182" w:type="pct"/>
            <w:tcBorders>
              <w:top w:val="nil"/>
              <w:left w:val="nil"/>
              <w:bottom w:val="nil"/>
              <w:right w:val="nil"/>
            </w:tcBorders>
            <w:shd w:val="clear" w:color="auto" w:fill="auto"/>
            <w:noWrap/>
            <w:vAlign w:val="bottom"/>
            <w:hideMark/>
          </w:tcPr>
          <w:p w14:paraId="602500CA"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Total excise and customs duty</w:t>
            </w:r>
          </w:p>
        </w:tc>
        <w:tc>
          <w:tcPr>
            <w:tcW w:w="727" w:type="pct"/>
            <w:tcBorders>
              <w:top w:val="single" w:sz="4" w:space="0" w:color="293F5B"/>
              <w:left w:val="nil"/>
              <w:bottom w:val="nil"/>
              <w:right w:val="nil"/>
            </w:tcBorders>
            <w:shd w:val="clear" w:color="auto" w:fill="auto"/>
            <w:noWrap/>
            <w:vAlign w:val="center"/>
            <w:hideMark/>
          </w:tcPr>
          <w:p w14:paraId="069C326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42,890</w:t>
            </w:r>
          </w:p>
        </w:tc>
        <w:tc>
          <w:tcPr>
            <w:tcW w:w="727" w:type="pct"/>
            <w:tcBorders>
              <w:top w:val="single" w:sz="4" w:space="0" w:color="293F5B"/>
              <w:left w:val="nil"/>
              <w:bottom w:val="nil"/>
              <w:right w:val="nil"/>
            </w:tcBorders>
            <w:shd w:val="clear" w:color="000000" w:fill="E6F2FF"/>
            <w:noWrap/>
            <w:vAlign w:val="center"/>
            <w:hideMark/>
          </w:tcPr>
          <w:p w14:paraId="31467E4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43,330</w:t>
            </w:r>
          </w:p>
        </w:tc>
        <w:tc>
          <w:tcPr>
            <w:tcW w:w="51" w:type="pct"/>
            <w:tcBorders>
              <w:top w:val="nil"/>
              <w:left w:val="nil"/>
              <w:bottom w:val="nil"/>
              <w:right w:val="nil"/>
            </w:tcBorders>
            <w:shd w:val="clear" w:color="auto" w:fill="auto"/>
            <w:noWrap/>
            <w:vAlign w:val="center"/>
            <w:hideMark/>
          </w:tcPr>
          <w:p w14:paraId="786709A2"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single" w:sz="4" w:space="0" w:color="293F5B"/>
              <w:left w:val="nil"/>
              <w:bottom w:val="nil"/>
              <w:right w:val="nil"/>
            </w:tcBorders>
            <w:shd w:val="clear" w:color="auto" w:fill="auto"/>
            <w:noWrap/>
            <w:vAlign w:val="center"/>
            <w:hideMark/>
          </w:tcPr>
          <w:p w14:paraId="23E993A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440</w:t>
            </w:r>
          </w:p>
        </w:tc>
        <w:tc>
          <w:tcPr>
            <w:tcW w:w="657" w:type="pct"/>
            <w:tcBorders>
              <w:top w:val="single" w:sz="4" w:space="0" w:color="293F5B"/>
              <w:left w:val="nil"/>
              <w:bottom w:val="nil"/>
              <w:right w:val="nil"/>
            </w:tcBorders>
            <w:shd w:val="clear" w:color="auto" w:fill="auto"/>
            <w:noWrap/>
            <w:vAlign w:val="center"/>
            <w:hideMark/>
          </w:tcPr>
          <w:p w14:paraId="52D119B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1.0</w:t>
            </w:r>
          </w:p>
        </w:tc>
      </w:tr>
      <w:tr w:rsidR="00AB5336" w:rsidRPr="00966BD4" w14:paraId="11AE8750"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3CD8C5A"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Major bank levy</w:t>
            </w:r>
          </w:p>
        </w:tc>
        <w:tc>
          <w:tcPr>
            <w:tcW w:w="727" w:type="pct"/>
            <w:tcBorders>
              <w:top w:val="nil"/>
              <w:left w:val="nil"/>
              <w:bottom w:val="nil"/>
              <w:right w:val="nil"/>
            </w:tcBorders>
            <w:shd w:val="clear" w:color="auto" w:fill="auto"/>
            <w:noWrap/>
            <w:vAlign w:val="center"/>
            <w:hideMark/>
          </w:tcPr>
          <w:p w14:paraId="5F8E4065"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1,570</w:t>
            </w:r>
          </w:p>
        </w:tc>
        <w:tc>
          <w:tcPr>
            <w:tcW w:w="727" w:type="pct"/>
            <w:tcBorders>
              <w:top w:val="nil"/>
              <w:left w:val="nil"/>
              <w:bottom w:val="nil"/>
              <w:right w:val="nil"/>
            </w:tcBorders>
            <w:shd w:val="clear" w:color="000000" w:fill="E6F2FF"/>
            <w:noWrap/>
            <w:vAlign w:val="center"/>
            <w:hideMark/>
          </w:tcPr>
          <w:p w14:paraId="6F494B8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1,560</w:t>
            </w:r>
          </w:p>
        </w:tc>
        <w:tc>
          <w:tcPr>
            <w:tcW w:w="51" w:type="pct"/>
            <w:tcBorders>
              <w:top w:val="nil"/>
              <w:left w:val="nil"/>
              <w:bottom w:val="nil"/>
              <w:right w:val="nil"/>
            </w:tcBorders>
            <w:shd w:val="clear" w:color="auto" w:fill="auto"/>
            <w:noWrap/>
            <w:vAlign w:val="center"/>
            <w:hideMark/>
          </w:tcPr>
          <w:p w14:paraId="69E2E536"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08035F0" w14:textId="6EA1C944"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10</w:t>
            </w:r>
          </w:p>
        </w:tc>
        <w:tc>
          <w:tcPr>
            <w:tcW w:w="657" w:type="pct"/>
            <w:tcBorders>
              <w:top w:val="nil"/>
              <w:left w:val="nil"/>
              <w:bottom w:val="nil"/>
              <w:right w:val="nil"/>
            </w:tcBorders>
            <w:shd w:val="clear" w:color="auto" w:fill="auto"/>
            <w:noWrap/>
            <w:vAlign w:val="center"/>
            <w:hideMark/>
          </w:tcPr>
          <w:p w14:paraId="11A2128E" w14:textId="25B83E9B"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0.6</w:t>
            </w:r>
          </w:p>
        </w:tc>
      </w:tr>
      <w:tr w:rsidR="00AB5336" w:rsidRPr="00966BD4" w14:paraId="12C822C9"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F89C49A"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Agricultural levies</w:t>
            </w:r>
          </w:p>
        </w:tc>
        <w:tc>
          <w:tcPr>
            <w:tcW w:w="727" w:type="pct"/>
            <w:tcBorders>
              <w:top w:val="nil"/>
              <w:left w:val="nil"/>
              <w:bottom w:val="nil"/>
              <w:right w:val="nil"/>
            </w:tcBorders>
            <w:shd w:val="clear" w:color="auto" w:fill="auto"/>
            <w:noWrap/>
            <w:vAlign w:val="center"/>
            <w:hideMark/>
          </w:tcPr>
          <w:p w14:paraId="13483F2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623</w:t>
            </w:r>
          </w:p>
        </w:tc>
        <w:tc>
          <w:tcPr>
            <w:tcW w:w="727" w:type="pct"/>
            <w:tcBorders>
              <w:top w:val="nil"/>
              <w:left w:val="nil"/>
              <w:bottom w:val="nil"/>
              <w:right w:val="nil"/>
            </w:tcBorders>
            <w:shd w:val="clear" w:color="000000" w:fill="E6F2FF"/>
            <w:noWrap/>
            <w:vAlign w:val="center"/>
            <w:hideMark/>
          </w:tcPr>
          <w:p w14:paraId="55ABBB1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631</w:t>
            </w:r>
          </w:p>
        </w:tc>
        <w:tc>
          <w:tcPr>
            <w:tcW w:w="51" w:type="pct"/>
            <w:tcBorders>
              <w:top w:val="nil"/>
              <w:left w:val="nil"/>
              <w:bottom w:val="nil"/>
              <w:right w:val="nil"/>
            </w:tcBorders>
            <w:shd w:val="clear" w:color="auto" w:fill="auto"/>
            <w:noWrap/>
            <w:vAlign w:val="center"/>
            <w:hideMark/>
          </w:tcPr>
          <w:p w14:paraId="38347DB4"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50C725E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w:t>
            </w:r>
          </w:p>
        </w:tc>
        <w:tc>
          <w:tcPr>
            <w:tcW w:w="657" w:type="pct"/>
            <w:tcBorders>
              <w:top w:val="nil"/>
              <w:left w:val="nil"/>
              <w:bottom w:val="nil"/>
              <w:right w:val="nil"/>
            </w:tcBorders>
            <w:shd w:val="clear" w:color="auto" w:fill="auto"/>
            <w:noWrap/>
            <w:vAlign w:val="center"/>
            <w:hideMark/>
          </w:tcPr>
          <w:p w14:paraId="0305DBA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w:t>
            </w:r>
          </w:p>
        </w:tc>
      </w:tr>
      <w:tr w:rsidR="00AB5336" w:rsidRPr="00966BD4" w14:paraId="65B8FC16" w14:textId="77777777" w:rsidTr="00B43927">
        <w:trPr>
          <w:trHeight w:hRule="exact" w:val="225"/>
        </w:trPr>
        <w:tc>
          <w:tcPr>
            <w:tcW w:w="2182" w:type="pct"/>
            <w:tcBorders>
              <w:top w:val="nil"/>
              <w:left w:val="nil"/>
              <w:bottom w:val="nil"/>
              <w:right w:val="nil"/>
            </w:tcBorders>
            <w:shd w:val="clear" w:color="auto" w:fill="auto"/>
            <w:noWrap/>
            <w:vAlign w:val="center"/>
            <w:hideMark/>
          </w:tcPr>
          <w:p w14:paraId="22EB2455"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Visa application charges(b)</w:t>
            </w:r>
          </w:p>
        </w:tc>
        <w:tc>
          <w:tcPr>
            <w:tcW w:w="727" w:type="pct"/>
            <w:tcBorders>
              <w:top w:val="nil"/>
              <w:left w:val="nil"/>
              <w:bottom w:val="nil"/>
              <w:right w:val="nil"/>
            </w:tcBorders>
            <w:shd w:val="clear" w:color="auto" w:fill="auto"/>
            <w:noWrap/>
            <w:vAlign w:val="center"/>
            <w:hideMark/>
          </w:tcPr>
          <w:p w14:paraId="31DD9AE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2,565</w:t>
            </w:r>
          </w:p>
        </w:tc>
        <w:tc>
          <w:tcPr>
            <w:tcW w:w="727" w:type="pct"/>
            <w:tcBorders>
              <w:top w:val="nil"/>
              <w:left w:val="nil"/>
              <w:bottom w:val="nil"/>
              <w:right w:val="nil"/>
            </w:tcBorders>
            <w:shd w:val="clear" w:color="000000" w:fill="E6F2FF"/>
            <w:noWrap/>
            <w:vAlign w:val="center"/>
            <w:hideMark/>
          </w:tcPr>
          <w:p w14:paraId="1D8CA1CE"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2,995</w:t>
            </w:r>
          </w:p>
        </w:tc>
        <w:tc>
          <w:tcPr>
            <w:tcW w:w="51" w:type="pct"/>
            <w:tcBorders>
              <w:top w:val="nil"/>
              <w:left w:val="nil"/>
              <w:bottom w:val="nil"/>
              <w:right w:val="nil"/>
            </w:tcBorders>
            <w:shd w:val="clear" w:color="auto" w:fill="auto"/>
            <w:noWrap/>
            <w:vAlign w:val="center"/>
            <w:hideMark/>
          </w:tcPr>
          <w:p w14:paraId="3728286A"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1AA3366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430</w:t>
            </w:r>
          </w:p>
        </w:tc>
        <w:tc>
          <w:tcPr>
            <w:tcW w:w="657" w:type="pct"/>
            <w:tcBorders>
              <w:top w:val="nil"/>
              <w:left w:val="nil"/>
              <w:bottom w:val="nil"/>
              <w:right w:val="nil"/>
            </w:tcBorders>
            <w:shd w:val="clear" w:color="auto" w:fill="auto"/>
            <w:noWrap/>
            <w:vAlign w:val="center"/>
            <w:hideMark/>
          </w:tcPr>
          <w:p w14:paraId="026B341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16.8</w:t>
            </w:r>
          </w:p>
        </w:tc>
      </w:tr>
      <w:tr w:rsidR="00AB5336" w:rsidRPr="00966BD4" w14:paraId="68EE37FB"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4ABD3A1"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Other taxes(b)</w:t>
            </w:r>
          </w:p>
        </w:tc>
        <w:tc>
          <w:tcPr>
            <w:tcW w:w="727" w:type="pct"/>
            <w:tcBorders>
              <w:top w:val="nil"/>
              <w:left w:val="nil"/>
              <w:bottom w:val="nil"/>
              <w:right w:val="nil"/>
            </w:tcBorders>
            <w:shd w:val="clear" w:color="000000" w:fill="FFFFFF"/>
            <w:noWrap/>
            <w:vAlign w:val="center"/>
            <w:hideMark/>
          </w:tcPr>
          <w:p w14:paraId="4EE286BA"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5,670</w:t>
            </w:r>
          </w:p>
        </w:tc>
        <w:tc>
          <w:tcPr>
            <w:tcW w:w="727" w:type="pct"/>
            <w:tcBorders>
              <w:top w:val="nil"/>
              <w:left w:val="nil"/>
              <w:bottom w:val="nil"/>
              <w:right w:val="nil"/>
            </w:tcBorders>
            <w:shd w:val="clear" w:color="000000" w:fill="E6F2FF"/>
            <w:noWrap/>
            <w:vAlign w:val="center"/>
            <w:hideMark/>
          </w:tcPr>
          <w:p w14:paraId="6357731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5,883</w:t>
            </w:r>
          </w:p>
        </w:tc>
        <w:tc>
          <w:tcPr>
            <w:tcW w:w="51" w:type="pct"/>
            <w:tcBorders>
              <w:top w:val="nil"/>
              <w:left w:val="nil"/>
              <w:bottom w:val="nil"/>
              <w:right w:val="nil"/>
            </w:tcBorders>
            <w:shd w:val="clear" w:color="auto" w:fill="auto"/>
            <w:noWrap/>
            <w:vAlign w:val="center"/>
            <w:hideMark/>
          </w:tcPr>
          <w:p w14:paraId="2CE764A5"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40CCA42"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213</w:t>
            </w:r>
          </w:p>
        </w:tc>
        <w:tc>
          <w:tcPr>
            <w:tcW w:w="657" w:type="pct"/>
            <w:tcBorders>
              <w:top w:val="nil"/>
              <w:left w:val="nil"/>
              <w:bottom w:val="nil"/>
              <w:right w:val="nil"/>
            </w:tcBorders>
            <w:shd w:val="clear" w:color="auto" w:fill="auto"/>
            <w:noWrap/>
            <w:vAlign w:val="center"/>
            <w:hideMark/>
          </w:tcPr>
          <w:p w14:paraId="39B82848"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3.8</w:t>
            </w:r>
          </w:p>
        </w:tc>
      </w:tr>
      <w:tr w:rsidR="00AB5336" w:rsidRPr="00966BD4" w14:paraId="35598E05" w14:textId="77777777" w:rsidTr="00B43927">
        <w:trPr>
          <w:trHeight w:hRule="exact" w:val="225"/>
        </w:trPr>
        <w:tc>
          <w:tcPr>
            <w:tcW w:w="2182" w:type="pct"/>
            <w:tcBorders>
              <w:top w:val="nil"/>
              <w:left w:val="nil"/>
              <w:bottom w:val="nil"/>
              <w:right w:val="nil"/>
            </w:tcBorders>
            <w:shd w:val="clear" w:color="auto" w:fill="auto"/>
            <w:noWrap/>
            <w:vAlign w:val="center"/>
            <w:hideMark/>
          </w:tcPr>
          <w:p w14:paraId="15E6929F"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Indirect taxation revenue</w:t>
            </w:r>
          </w:p>
        </w:tc>
        <w:tc>
          <w:tcPr>
            <w:tcW w:w="727" w:type="pct"/>
            <w:tcBorders>
              <w:top w:val="single" w:sz="4" w:space="0" w:color="293F5B"/>
              <w:left w:val="nil"/>
              <w:bottom w:val="single" w:sz="4" w:space="0" w:color="293F5B"/>
              <w:right w:val="nil"/>
            </w:tcBorders>
            <w:shd w:val="clear" w:color="000000" w:fill="FFFFFF"/>
            <w:noWrap/>
            <w:vAlign w:val="center"/>
            <w:hideMark/>
          </w:tcPr>
          <w:p w14:paraId="49938998"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142,468</w:t>
            </w:r>
          </w:p>
        </w:tc>
        <w:tc>
          <w:tcPr>
            <w:tcW w:w="727" w:type="pct"/>
            <w:tcBorders>
              <w:top w:val="single" w:sz="4" w:space="0" w:color="293F5B"/>
              <w:left w:val="nil"/>
              <w:bottom w:val="single" w:sz="4" w:space="0" w:color="293F5B"/>
              <w:right w:val="nil"/>
            </w:tcBorders>
            <w:shd w:val="clear" w:color="000000" w:fill="E6F2FF"/>
            <w:noWrap/>
            <w:vAlign w:val="center"/>
            <w:hideMark/>
          </w:tcPr>
          <w:p w14:paraId="3C127006"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144,759</w:t>
            </w:r>
          </w:p>
        </w:tc>
        <w:tc>
          <w:tcPr>
            <w:tcW w:w="51" w:type="pct"/>
            <w:tcBorders>
              <w:top w:val="nil"/>
              <w:left w:val="nil"/>
              <w:bottom w:val="nil"/>
              <w:right w:val="nil"/>
            </w:tcBorders>
            <w:shd w:val="clear" w:color="auto" w:fill="auto"/>
            <w:noWrap/>
            <w:vAlign w:val="center"/>
            <w:hideMark/>
          </w:tcPr>
          <w:p w14:paraId="2A606DEC" w14:textId="77777777" w:rsidR="00AB5336" w:rsidRPr="00966BD4" w:rsidRDefault="00AB5336" w:rsidP="00AB5336">
            <w:pPr>
              <w:spacing w:before="0" w:after="0" w:line="240" w:lineRule="auto"/>
              <w:jc w:val="right"/>
              <w:rPr>
                <w:rFonts w:ascii="Arial" w:hAnsi="Arial" w:cs="Arial"/>
                <w:b/>
                <w:bCs/>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5065C51C"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2,291</w:t>
            </w:r>
          </w:p>
        </w:tc>
        <w:tc>
          <w:tcPr>
            <w:tcW w:w="657" w:type="pct"/>
            <w:tcBorders>
              <w:top w:val="single" w:sz="4" w:space="0" w:color="293F5B"/>
              <w:left w:val="nil"/>
              <w:bottom w:val="single" w:sz="4" w:space="0" w:color="293F5B"/>
              <w:right w:val="nil"/>
            </w:tcBorders>
            <w:shd w:val="clear" w:color="auto" w:fill="auto"/>
            <w:noWrap/>
            <w:vAlign w:val="center"/>
            <w:hideMark/>
          </w:tcPr>
          <w:p w14:paraId="6B479CDC"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1.6</w:t>
            </w:r>
          </w:p>
        </w:tc>
      </w:tr>
      <w:tr w:rsidR="00AB5336" w:rsidRPr="00966BD4" w14:paraId="14E03FB8" w14:textId="77777777" w:rsidTr="00B43927">
        <w:trPr>
          <w:trHeight w:hRule="exact" w:val="225"/>
        </w:trPr>
        <w:tc>
          <w:tcPr>
            <w:tcW w:w="2182" w:type="pct"/>
            <w:tcBorders>
              <w:top w:val="nil"/>
              <w:left w:val="nil"/>
              <w:bottom w:val="nil"/>
              <w:right w:val="nil"/>
            </w:tcBorders>
            <w:shd w:val="clear" w:color="auto" w:fill="auto"/>
            <w:noWrap/>
            <w:vAlign w:val="center"/>
            <w:hideMark/>
          </w:tcPr>
          <w:p w14:paraId="47AA3773"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Taxation revenue</w:t>
            </w:r>
          </w:p>
        </w:tc>
        <w:tc>
          <w:tcPr>
            <w:tcW w:w="727" w:type="pct"/>
            <w:tcBorders>
              <w:top w:val="nil"/>
              <w:left w:val="nil"/>
              <w:bottom w:val="single" w:sz="4" w:space="0" w:color="293F5B"/>
              <w:right w:val="nil"/>
            </w:tcBorders>
            <w:shd w:val="clear" w:color="000000" w:fill="FFFFFF"/>
            <w:noWrap/>
            <w:vAlign w:val="center"/>
            <w:hideMark/>
          </w:tcPr>
          <w:p w14:paraId="681E0440"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577,868</w:t>
            </w:r>
          </w:p>
        </w:tc>
        <w:tc>
          <w:tcPr>
            <w:tcW w:w="727" w:type="pct"/>
            <w:tcBorders>
              <w:top w:val="nil"/>
              <w:left w:val="nil"/>
              <w:bottom w:val="single" w:sz="4" w:space="0" w:color="293F5B"/>
              <w:right w:val="nil"/>
            </w:tcBorders>
            <w:shd w:val="clear" w:color="000000" w:fill="E6F2FF"/>
            <w:noWrap/>
            <w:vAlign w:val="center"/>
            <w:hideMark/>
          </w:tcPr>
          <w:p w14:paraId="62960468"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604,169</w:t>
            </w:r>
          </w:p>
        </w:tc>
        <w:tc>
          <w:tcPr>
            <w:tcW w:w="51" w:type="pct"/>
            <w:tcBorders>
              <w:top w:val="nil"/>
              <w:left w:val="nil"/>
              <w:bottom w:val="nil"/>
              <w:right w:val="nil"/>
            </w:tcBorders>
            <w:shd w:val="clear" w:color="auto" w:fill="auto"/>
            <w:noWrap/>
            <w:vAlign w:val="center"/>
            <w:hideMark/>
          </w:tcPr>
          <w:p w14:paraId="3033FEF8" w14:textId="77777777" w:rsidR="00AB5336" w:rsidRPr="00966BD4" w:rsidRDefault="00AB5336" w:rsidP="00AB5336">
            <w:pPr>
              <w:spacing w:before="0" w:after="0" w:line="240" w:lineRule="auto"/>
              <w:jc w:val="right"/>
              <w:rPr>
                <w:rFonts w:ascii="Arial" w:hAnsi="Arial" w:cs="Arial"/>
                <w:b/>
                <w:bCs/>
                <w:sz w:val="16"/>
                <w:szCs w:val="16"/>
              </w:rPr>
            </w:pPr>
          </w:p>
        </w:tc>
        <w:tc>
          <w:tcPr>
            <w:tcW w:w="657" w:type="pct"/>
            <w:tcBorders>
              <w:top w:val="nil"/>
              <w:left w:val="nil"/>
              <w:bottom w:val="single" w:sz="4" w:space="0" w:color="293F5B"/>
              <w:right w:val="nil"/>
            </w:tcBorders>
            <w:shd w:val="clear" w:color="auto" w:fill="auto"/>
            <w:noWrap/>
            <w:vAlign w:val="center"/>
            <w:hideMark/>
          </w:tcPr>
          <w:p w14:paraId="55C94D3B"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26,301</w:t>
            </w:r>
          </w:p>
        </w:tc>
        <w:tc>
          <w:tcPr>
            <w:tcW w:w="657" w:type="pct"/>
            <w:tcBorders>
              <w:top w:val="nil"/>
              <w:left w:val="nil"/>
              <w:bottom w:val="single" w:sz="4" w:space="0" w:color="293F5B"/>
              <w:right w:val="nil"/>
            </w:tcBorders>
            <w:shd w:val="clear" w:color="auto" w:fill="auto"/>
            <w:noWrap/>
            <w:vAlign w:val="center"/>
            <w:hideMark/>
          </w:tcPr>
          <w:p w14:paraId="26A4A1CF"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4.6</w:t>
            </w:r>
          </w:p>
        </w:tc>
      </w:tr>
      <w:tr w:rsidR="00AB5336" w:rsidRPr="00966BD4" w14:paraId="79C72671" w14:textId="77777777" w:rsidTr="00B43927">
        <w:trPr>
          <w:trHeight w:hRule="exact" w:val="60"/>
        </w:trPr>
        <w:tc>
          <w:tcPr>
            <w:tcW w:w="2182" w:type="pct"/>
            <w:tcBorders>
              <w:top w:val="nil"/>
              <w:left w:val="nil"/>
              <w:bottom w:val="nil"/>
              <w:right w:val="nil"/>
            </w:tcBorders>
            <w:shd w:val="clear" w:color="auto" w:fill="auto"/>
            <w:noWrap/>
            <w:vAlign w:val="center"/>
            <w:hideMark/>
          </w:tcPr>
          <w:p w14:paraId="79F92E30" w14:textId="77777777" w:rsidR="00AB5336" w:rsidRPr="00966BD4" w:rsidRDefault="00AB5336" w:rsidP="00AB5336">
            <w:pPr>
              <w:spacing w:before="0" w:after="0" w:line="240" w:lineRule="auto"/>
              <w:jc w:val="right"/>
              <w:rPr>
                <w:rFonts w:ascii="Arial" w:hAnsi="Arial" w:cs="Arial"/>
                <w:b/>
                <w:bCs/>
                <w:sz w:val="16"/>
                <w:szCs w:val="16"/>
              </w:rPr>
            </w:pPr>
          </w:p>
        </w:tc>
        <w:tc>
          <w:tcPr>
            <w:tcW w:w="727" w:type="pct"/>
            <w:tcBorders>
              <w:top w:val="nil"/>
              <w:left w:val="nil"/>
              <w:bottom w:val="nil"/>
              <w:right w:val="nil"/>
            </w:tcBorders>
            <w:shd w:val="clear" w:color="000000" w:fill="FFFFFF"/>
            <w:noWrap/>
            <w:vAlign w:val="center"/>
            <w:hideMark/>
          </w:tcPr>
          <w:p w14:paraId="676DD80D"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 </w:t>
            </w:r>
          </w:p>
        </w:tc>
        <w:tc>
          <w:tcPr>
            <w:tcW w:w="727" w:type="pct"/>
            <w:tcBorders>
              <w:top w:val="nil"/>
              <w:left w:val="nil"/>
              <w:bottom w:val="nil"/>
              <w:right w:val="nil"/>
            </w:tcBorders>
            <w:shd w:val="clear" w:color="000000" w:fill="E6F2FF"/>
            <w:noWrap/>
            <w:vAlign w:val="center"/>
            <w:hideMark/>
          </w:tcPr>
          <w:p w14:paraId="7C066B39"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 </w:t>
            </w:r>
          </w:p>
        </w:tc>
        <w:tc>
          <w:tcPr>
            <w:tcW w:w="51" w:type="pct"/>
            <w:tcBorders>
              <w:top w:val="nil"/>
              <w:left w:val="nil"/>
              <w:bottom w:val="nil"/>
              <w:right w:val="nil"/>
            </w:tcBorders>
            <w:shd w:val="clear" w:color="auto" w:fill="auto"/>
            <w:noWrap/>
            <w:vAlign w:val="center"/>
            <w:hideMark/>
          </w:tcPr>
          <w:p w14:paraId="1D4C5741" w14:textId="77777777" w:rsidR="00AB5336" w:rsidRPr="00966BD4" w:rsidRDefault="00AB5336" w:rsidP="00AB5336">
            <w:pPr>
              <w:spacing w:before="0" w:after="0" w:line="240" w:lineRule="auto"/>
              <w:rPr>
                <w:rFonts w:ascii="Arial" w:hAnsi="Arial" w:cs="Arial"/>
                <w:b/>
                <w:bCs/>
                <w:sz w:val="16"/>
                <w:szCs w:val="16"/>
              </w:rPr>
            </w:pPr>
          </w:p>
        </w:tc>
        <w:tc>
          <w:tcPr>
            <w:tcW w:w="657" w:type="pct"/>
            <w:tcBorders>
              <w:top w:val="nil"/>
              <w:left w:val="nil"/>
              <w:bottom w:val="nil"/>
              <w:right w:val="nil"/>
            </w:tcBorders>
            <w:shd w:val="clear" w:color="auto" w:fill="auto"/>
            <w:noWrap/>
            <w:vAlign w:val="center"/>
            <w:hideMark/>
          </w:tcPr>
          <w:p w14:paraId="14BC21AC" w14:textId="77777777" w:rsidR="00AB5336" w:rsidRPr="00966BD4" w:rsidRDefault="00AB5336" w:rsidP="00AB5336">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10647AC9" w14:textId="77777777" w:rsidR="00AB5336" w:rsidRPr="00966BD4" w:rsidRDefault="00AB5336" w:rsidP="00AB5336">
            <w:pPr>
              <w:spacing w:before="0" w:after="0" w:line="240" w:lineRule="auto"/>
              <w:jc w:val="right"/>
              <w:rPr>
                <w:rFonts w:ascii="Times New Roman" w:hAnsi="Times New Roman"/>
                <w:sz w:val="20"/>
              </w:rPr>
            </w:pPr>
          </w:p>
        </w:tc>
      </w:tr>
      <w:tr w:rsidR="00AB5336" w:rsidRPr="00966BD4" w14:paraId="01A0ECD4" w14:textId="77777777" w:rsidTr="00B43927">
        <w:trPr>
          <w:trHeight w:hRule="exact" w:val="225"/>
        </w:trPr>
        <w:tc>
          <w:tcPr>
            <w:tcW w:w="2182" w:type="pct"/>
            <w:tcBorders>
              <w:top w:val="nil"/>
              <w:left w:val="nil"/>
              <w:bottom w:val="nil"/>
              <w:right w:val="nil"/>
            </w:tcBorders>
            <w:shd w:val="clear" w:color="auto" w:fill="auto"/>
            <w:noWrap/>
            <w:vAlign w:val="center"/>
            <w:hideMark/>
          </w:tcPr>
          <w:p w14:paraId="681AAA72"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Sales of goods and services</w:t>
            </w:r>
          </w:p>
        </w:tc>
        <w:tc>
          <w:tcPr>
            <w:tcW w:w="727" w:type="pct"/>
            <w:tcBorders>
              <w:top w:val="nil"/>
              <w:left w:val="nil"/>
              <w:bottom w:val="nil"/>
              <w:right w:val="nil"/>
            </w:tcBorders>
            <w:shd w:val="clear" w:color="000000" w:fill="FFFFFF"/>
            <w:noWrap/>
            <w:vAlign w:val="center"/>
            <w:hideMark/>
          </w:tcPr>
          <w:p w14:paraId="6209B8BF"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18,371</w:t>
            </w:r>
          </w:p>
        </w:tc>
        <w:tc>
          <w:tcPr>
            <w:tcW w:w="727" w:type="pct"/>
            <w:tcBorders>
              <w:top w:val="nil"/>
              <w:left w:val="nil"/>
              <w:bottom w:val="nil"/>
              <w:right w:val="nil"/>
            </w:tcBorders>
            <w:shd w:val="clear" w:color="000000" w:fill="E6F2FF"/>
            <w:noWrap/>
            <w:vAlign w:val="center"/>
            <w:hideMark/>
          </w:tcPr>
          <w:p w14:paraId="2A014F5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19,078</w:t>
            </w:r>
          </w:p>
        </w:tc>
        <w:tc>
          <w:tcPr>
            <w:tcW w:w="51" w:type="pct"/>
            <w:tcBorders>
              <w:top w:val="nil"/>
              <w:left w:val="nil"/>
              <w:bottom w:val="nil"/>
              <w:right w:val="nil"/>
            </w:tcBorders>
            <w:shd w:val="clear" w:color="auto" w:fill="auto"/>
            <w:noWrap/>
            <w:vAlign w:val="center"/>
            <w:hideMark/>
          </w:tcPr>
          <w:p w14:paraId="0F4E12FB"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413ACE2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707</w:t>
            </w:r>
          </w:p>
        </w:tc>
        <w:tc>
          <w:tcPr>
            <w:tcW w:w="657" w:type="pct"/>
            <w:tcBorders>
              <w:top w:val="nil"/>
              <w:left w:val="nil"/>
              <w:bottom w:val="nil"/>
              <w:right w:val="nil"/>
            </w:tcBorders>
            <w:shd w:val="clear" w:color="auto" w:fill="auto"/>
            <w:noWrap/>
            <w:vAlign w:val="center"/>
            <w:hideMark/>
          </w:tcPr>
          <w:p w14:paraId="08034CA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3.9</w:t>
            </w:r>
          </w:p>
        </w:tc>
      </w:tr>
      <w:tr w:rsidR="00AB5336" w:rsidRPr="00966BD4" w14:paraId="5567590B" w14:textId="77777777" w:rsidTr="00B43927">
        <w:trPr>
          <w:trHeight w:hRule="exact" w:val="225"/>
        </w:trPr>
        <w:tc>
          <w:tcPr>
            <w:tcW w:w="2182" w:type="pct"/>
            <w:tcBorders>
              <w:top w:val="nil"/>
              <w:left w:val="nil"/>
              <w:bottom w:val="nil"/>
              <w:right w:val="nil"/>
            </w:tcBorders>
            <w:shd w:val="clear" w:color="auto" w:fill="auto"/>
            <w:noWrap/>
            <w:vAlign w:val="center"/>
            <w:hideMark/>
          </w:tcPr>
          <w:p w14:paraId="15AA370B"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Interest</w:t>
            </w:r>
          </w:p>
        </w:tc>
        <w:tc>
          <w:tcPr>
            <w:tcW w:w="727" w:type="pct"/>
            <w:tcBorders>
              <w:top w:val="nil"/>
              <w:left w:val="nil"/>
              <w:bottom w:val="nil"/>
              <w:right w:val="nil"/>
            </w:tcBorders>
            <w:shd w:val="clear" w:color="000000" w:fill="FFFFFF"/>
            <w:noWrap/>
            <w:vAlign w:val="center"/>
            <w:hideMark/>
          </w:tcPr>
          <w:p w14:paraId="3E0E530D"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8,192</w:t>
            </w:r>
          </w:p>
        </w:tc>
        <w:tc>
          <w:tcPr>
            <w:tcW w:w="727" w:type="pct"/>
            <w:tcBorders>
              <w:top w:val="nil"/>
              <w:left w:val="nil"/>
              <w:bottom w:val="nil"/>
              <w:right w:val="nil"/>
            </w:tcBorders>
            <w:shd w:val="clear" w:color="000000" w:fill="E6F2FF"/>
            <w:noWrap/>
            <w:vAlign w:val="center"/>
            <w:hideMark/>
          </w:tcPr>
          <w:p w14:paraId="4694E59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9,053</w:t>
            </w:r>
          </w:p>
        </w:tc>
        <w:tc>
          <w:tcPr>
            <w:tcW w:w="51" w:type="pct"/>
            <w:tcBorders>
              <w:top w:val="nil"/>
              <w:left w:val="nil"/>
              <w:bottom w:val="nil"/>
              <w:right w:val="nil"/>
            </w:tcBorders>
            <w:shd w:val="clear" w:color="auto" w:fill="auto"/>
            <w:noWrap/>
            <w:vAlign w:val="center"/>
            <w:hideMark/>
          </w:tcPr>
          <w:p w14:paraId="59389524"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ABE6443"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861</w:t>
            </w:r>
          </w:p>
        </w:tc>
        <w:tc>
          <w:tcPr>
            <w:tcW w:w="657" w:type="pct"/>
            <w:tcBorders>
              <w:top w:val="nil"/>
              <w:left w:val="nil"/>
              <w:bottom w:val="nil"/>
              <w:right w:val="nil"/>
            </w:tcBorders>
            <w:shd w:val="clear" w:color="auto" w:fill="auto"/>
            <w:noWrap/>
            <w:vAlign w:val="center"/>
            <w:hideMark/>
          </w:tcPr>
          <w:p w14:paraId="2519448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10.5</w:t>
            </w:r>
          </w:p>
        </w:tc>
      </w:tr>
      <w:tr w:rsidR="00AB5336" w:rsidRPr="00966BD4" w14:paraId="5ECCDD5D" w14:textId="77777777" w:rsidTr="00B43927">
        <w:trPr>
          <w:trHeight w:hRule="exact" w:val="225"/>
        </w:trPr>
        <w:tc>
          <w:tcPr>
            <w:tcW w:w="2182" w:type="pct"/>
            <w:tcBorders>
              <w:top w:val="nil"/>
              <w:left w:val="nil"/>
              <w:bottom w:val="nil"/>
              <w:right w:val="nil"/>
            </w:tcBorders>
            <w:shd w:val="clear" w:color="auto" w:fill="auto"/>
            <w:noWrap/>
            <w:vAlign w:val="center"/>
            <w:hideMark/>
          </w:tcPr>
          <w:p w14:paraId="78CFDEF3" w14:textId="77777777"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Dividends and distributions</w:t>
            </w:r>
          </w:p>
        </w:tc>
        <w:tc>
          <w:tcPr>
            <w:tcW w:w="727" w:type="pct"/>
            <w:tcBorders>
              <w:top w:val="nil"/>
              <w:left w:val="nil"/>
              <w:bottom w:val="nil"/>
              <w:right w:val="nil"/>
            </w:tcBorders>
            <w:shd w:val="clear" w:color="000000" w:fill="FFFFFF"/>
            <w:noWrap/>
            <w:vAlign w:val="center"/>
            <w:hideMark/>
          </w:tcPr>
          <w:p w14:paraId="59A8F5F4"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5,695</w:t>
            </w:r>
          </w:p>
        </w:tc>
        <w:tc>
          <w:tcPr>
            <w:tcW w:w="727" w:type="pct"/>
            <w:tcBorders>
              <w:top w:val="nil"/>
              <w:left w:val="nil"/>
              <w:bottom w:val="nil"/>
              <w:right w:val="nil"/>
            </w:tcBorders>
            <w:shd w:val="clear" w:color="000000" w:fill="E6F2FF"/>
            <w:noWrap/>
            <w:vAlign w:val="center"/>
            <w:hideMark/>
          </w:tcPr>
          <w:p w14:paraId="41F07E3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5,361</w:t>
            </w:r>
          </w:p>
        </w:tc>
        <w:tc>
          <w:tcPr>
            <w:tcW w:w="51" w:type="pct"/>
            <w:tcBorders>
              <w:top w:val="nil"/>
              <w:left w:val="nil"/>
              <w:bottom w:val="nil"/>
              <w:right w:val="nil"/>
            </w:tcBorders>
            <w:shd w:val="clear" w:color="auto" w:fill="auto"/>
            <w:noWrap/>
            <w:vAlign w:val="center"/>
            <w:hideMark/>
          </w:tcPr>
          <w:p w14:paraId="4226BF06"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637B281D" w14:textId="321114FA"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334</w:t>
            </w:r>
          </w:p>
        </w:tc>
        <w:tc>
          <w:tcPr>
            <w:tcW w:w="657" w:type="pct"/>
            <w:tcBorders>
              <w:top w:val="nil"/>
              <w:left w:val="nil"/>
              <w:bottom w:val="nil"/>
              <w:right w:val="nil"/>
            </w:tcBorders>
            <w:shd w:val="clear" w:color="auto" w:fill="auto"/>
            <w:noWrap/>
            <w:vAlign w:val="center"/>
            <w:hideMark/>
          </w:tcPr>
          <w:p w14:paraId="06BEBFB3" w14:textId="49F01AC9" w:rsidR="00AB5336" w:rsidRPr="00966BD4" w:rsidRDefault="001B77CF" w:rsidP="00AB5336">
            <w:pPr>
              <w:spacing w:before="0" w:after="0" w:line="240" w:lineRule="auto"/>
              <w:jc w:val="right"/>
              <w:rPr>
                <w:rFonts w:ascii="Arial" w:hAnsi="Arial" w:cs="Arial"/>
                <w:sz w:val="16"/>
                <w:szCs w:val="16"/>
              </w:rPr>
            </w:pPr>
            <w:r>
              <w:rPr>
                <w:rFonts w:ascii="Arial" w:hAnsi="Arial" w:cs="Arial"/>
                <w:sz w:val="16"/>
                <w:szCs w:val="16"/>
              </w:rPr>
              <w:noBreakHyphen/>
            </w:r>
            <w:r w:rsidR="00AB5336" w:rsidRPr="00966BD4">
              <w:rPr>
                <w:rFonts w:ascii="Arial" w:hAnsi="Arial" w:cs="Arial"/>
                <w:sz w:val="16"/>
                <w:szCs w:val="16"/>
              </w:rPr>
              <w:t>5.9</w:t>
            </w:r>
          </w:p>
        </w:tc>
      </w:tr>
      <w:tr w:rsidR="00AB5336" w:rsidRPr="00966BD4" w14:paraId="6C3D7BF7" w14:textId="77777777" w:rsidTr="00B43927">
        <w:trPr>
          <w:trHeight w:hRule="exact" w:val="225"/>
        </w:trPr>
        <w:tc>
          <w:tcPr>
            <w:tcW w:w="2182" w:type="pct"/>
            <w:tcBorders>
              <w:top w:val="nil"/>
              <w:left w:val="nil"/>
              <w:bottom w:val="nil"/>
              <w:right w:val="nil"/>
            </w:tcBorders>
            <w:shd w:val="clear" w:color="auto" w:fill="auto"/>
            <w:noWrap/>
            <w:vAlign w:val="center"/>
            <w:hideMark/>
          </w:tcPr>
          <w:p w14:paraId="7455207C" w14:textId="0F9E3F20" w:rsidR="00AB5336" w:rsidRPr="00966BD4" w:rsidRDefault="00AB5336" w:rsidP="00AB5336">
            <w:pPr>
              <w:spacing w:before="0" w:after="0" w:line="240" w:lineRule="auto"/>
              <w:rPr>
                <w:rFonts w:ascii="Arial" w:hAnsi="Arial" w:cs="Arial"/>
                <w:sz w:val="16"/>
                <w:szCs w:val="16"/>
              </w:rPr>
            </w:pPr>
            <w:r w:rsidRPr="00966BD4">
              <w:rPr>
                <w:rFonts w:ascii="Arial" w:hAnsi="Arial" w:cs="Arial"/>
                <w:sz w:val="16"/>
                <w:szCs w:val="16"/>
              </w:rPr>
              <w:t>Other non</w:t>
            </w:r>
            <w:r w:rsidR="001B77CF">
              <w:rPr>
                <w:rFonts w:ascii="Arial" w:hAnsi="Arial" w:cs="Arial"/>
                <w:sz w:val="16"/>
                <w:szCs w:val="16"/>
              </w:rPr>
              <w:noBreakHyphen/>
            </w:r>
            <w:r w:rsidRPr="00966BD4">
              <w:rPr>
                <w:rFonts w:ascii="Arial" w:hAnsi="Arial" w:cs="Arial"/>
                <w:sz w:val="16"/>
                <w:szCs w:val="16"/>
              </w:rPr>
              <w:t>taxation revenue</w:t>
            </w:r>
          </w:p>
        </w:tc>
        <w:tc>
          <w:tcPr>
            <w:tcW w:w="727" w:type="pct"/>
            <w:tcBorders>
              <w:top w:val="nil"/>
              <w:left w:val="nil"/>
              <w:bottom w:val="nil"/>
              <w:right w:val="nil"/>
            </w:tcBorders>
            <w:shd w:val="clear" w:color="000000" w:fill="FFFFFF"/>
            <w:noWrap/>
            <w:vAlign w:val="center"/>
            <w:hideMark/>
          </w:tcPr>
          <w:p w14:paraId="00CC1DE0"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14,891</w:t>
            </w:r>
          </w:p>
        </w:tc>
        <w:tc>
          <w:tcPr>
            <w:tcW w:w="727" w:type="pct"/>
            <w:tcBorders>
              <w:top w:val="nil"/>
              <w:left w:val="nil"/>
              <w:bottom w:val="nil"/>
              <w:right w:val="nil"/>
            </w:tcBorders>
            <w:shd w:val="clear" w:color="000000" w:fill="E6F2FF"/>
            <w:noWrap/>
            <w:vAlign w:val="center"/>
            <w:hideMark/>
          </w:tcPr>
          <w:p w14:paraId="31A2D259"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16,105</w:t>
            </w:r>
          </w:p>
        </w:tc>
        <w:tc>
          <w:tcPr>
            <w:tcW w:w="51" w:type="pct"/>
            <w:tcBorders>
              <w:top w:val="nil"/>
              <w:left w:val="nil"/>
              <w:bottom w:val="nil"/>
              <w:right w:val="nil"/>
            </w:tcBorders>
            <w:shd w:val="clear" w:color="auto" w:fill="auto"/>
            <w:noWrap/>
            <w:vAlign w:val="center"/>
            <w:hideMark/>
          </w:tcPr>
          <w:p w14:paraId="4E6C6E1C" w14:textId="77777777" w:rsidR="00AB5336" w:rsidRPr="00966BD4" w:rsidRDefault="00AB5336" w:rsidP="00AB5336">
            <w:pPr>
              <w:spacing w:before="0" w:after="0" w:line="240" w:lineRule="auto"/>
              <w:jc w:val="right"/>
              <w:rPr>
                <w:rFonts w:ascii="Arial" w:hAnsi="Arial" w:cs="Arial"/>
                <w:sz w:val="16"/>
                <w:szCs w:val="16"/>
              </w:rPr>
            </w:pPr>
          </w:p>
        </w:tc>
        <w:tc>
          <w:tcPr>
            <w:tcW w:w="657" w:type="pct"/>
            <w:tcBorders>
              <w:top w:val="nil"/>
              <w:left w:val="nil"/>
              <w:bottom w:val="nil"/>
              <w:right w:val="nil"/>
            </w:tcBorders>
            <w:shd w:val="clear" w:color="auto" w:fill="auto"/>
            <w:noWrap/>
            <w:vAlign w:val="center"/>
            <w:hideMark/>
          </w:tcPr>
          <w:p w14:paraId="30C8FBFB"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1,215</w:t>
            </w:r>
          </w:p>
        </w:tc>
        <w:tc>
          <w:tcPr>
            <w:tcW w:w="657" w:type="pct"/>
            <w:tcBorders>
              <w:top w:val="nil"/>
              <w:left w:val="nil"/>
              <w:bottom w:val="nil"/>
              <w:right w:val="nil"/>
            </w:tcBorders>
            <w:shd w:val="clear" w:color="auto" w:fill="auto"/>
            <w:noWrap/>
            <w:vAlign w:val="center"/>
            <w:hideMark/>
          </w:tcPr>
          <w:p w14:paraId="29779936" w14:textId="77777777" w:rsidR="00AB5336" w:rsidRPr="00966BD4" w:rsidRDefault="00AB5336" w:rsidP="00AB5336">
            <w:pPr>
              <w:spacing w:before="0" w:after="0" w:line="240" w:lineRule="auto"/>
              <w:jc w:val="right"/>
              <w:rPr>
                <w:rFonts w:ascii="Arial" w:hAnsi="Arial" w:cs="Arial"/>
                <w:sz w:val="16"/>
                <w:szCs w:val="16"/>
              </w:rPr>
            </w:pPr>
            <w:r w:rsidRPr="00966BD4">
              <w:rPr>
                <w:rFonts w:ascii="Arial" w:hAnsi="Arial" w:cs="Arial"/>
                <w:sz w:val="16"/>
                <w:szCs w:val="16"/>
              </w:rPr>
              <w:t>8.2</w:t>
            </w:r>
          </w:p>
        </w:tc>
      </w:tr>
      <w:tr w:rsidR="00AB5336" w:rsidRPr="00966BD4" w14:paraId="33344495" w14:textId="77777777" w:rsidTr="00B43927">
        <w:trPr>
          <w:trHeight w:hRule="exact" w:val="225"/>
        </w:trPr>
        <w:tc>
          <w:tcPr>
            <w:tcW w:w="2182" w:type="pct"/>
            <w:tcBorders>
              <w:top w:val="nil"/>
              <w:left w:val="nil"/>
              <w:bottom w:val="nil"/>
              <w:right w:val="nil"/>
            </w:tcBorders>
            <w:shd w:val="clear" w:color="auto" w:fill="auto"/>
            <w:noWrap/>
            <w:vAlign w:val="center"/>
            <w:hideMark/>
          </w:tcPr>
          <w:p w14:paraId="0DC99A49" w14:textId="233BE348"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Non</w:t>
            </w:r>
            <w:r w:rsidR="001B77CF">
              <w:rPr>
                <w:rFonts w:ascii="Arial" w:hAnsi="Arial" w:cs="Arial"/>
                <w:b/>
                <w:bCs/>
                <w:sz w:val="16"/>
                <w:szCs w:val="16"/>
              </w:rPr>
              <w:noBreakHyphen/>
            </w:r>
            <w:r w:rsidRPr="00966BD4">
              <w:rPr>
                <w:rFonts w:ascii="Arial" w:hAnsi="Arial" w:cs="Arial"/>
                <w:b/>
                <w:bCs/>
                <w:sz w:val="16"/>
                <w:szCs w:val="16"/>
              </w:rPr>
              <w:t>taxation revenue</w:t>
            </w:r>
          </w:p>
        </w:tc>
        <w:tc>
          <w:tcPr>
            <w:tcW w:w="727" w:type="pct"/>
            <w:tcBorders>
              <w:top w:val="single" w:sz="4" w:space="0" w:color="293F5B"/>
              <w:left w:val="nil"/>
              <w:bottom w:val="single" w:sz="4" w:space="0" w:color="293F5B"/>
              <w:right w:val="nil"/>
            </w:tcBorders>
            <w:shd w:val="clear" w:color="000000" w:fill="FFFFFF"/>
            <w:noWrap/>
            <w:vAlign w:val="center"/>
            <w:hideMark/>
          </w:tcPr>
          <w:p w14:paraId="0A309733"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47,149</w:t>
            </w:r>
          </w:p>
        </w:tc>
        <w:tc>
          <w:tcPr>
            <w:tcW w:w="727" w:type="pct"/>
            <w:tcBorders>
              <w:top w:val="single" w:sz="4" w:space="0" w:color="293F5B"/>
              <w:left w:val="nil"/>
              <w:bottom w:val="single" w:sz="4" w:space="0" w:color="293F5B"/>
              <w:right w:val="nil"/>
            </w:tcBorders>
            <w:shd w:val="clear" w:color="000000" w:fill="E6F2FF"/>
            <w:noWrap/>
            <w:vAlign w:val="center"/>
            <w:hideMark/>
          </w:tcPr>
          <w:p w14:paraId="0525273E"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49,598</w:t>
            </w:r>
          </w:p>
        </w:tc>
        <w:tc>
          <w:tcPr>
            <w:tcW w:w="51" w:type="pct"/>
            <w:tcBorders>
              <w:top w:val="nil"/>
              <w:left w:val="nil"/>
              <w:bottom w:val="nil"/>
              <w:right w:val="nil"/>
            </w:tcBorders>
            <w:shd w:val="clear" w:color="auto" w:fill="auto"/>
            <w:noWrap/>
            <w:vAlign w:val="center"/>
            <w:hideMark/>
          </w:tcPr>
          <w:p w14:paraId="7D5F3356" w14:textId="77777777" w:rsidR="00AB5336" w:rsidRPr="00966BD4" w:rsidRDefault="00AB5336" w:rsidP="00AB5336">
            <w:pPr>
              <w:spacing w:before="0" w:after="0" w:line="240" w:lineRule="auto"/>
              <w:jc w:val="right"/>
              <w:rPr>
                <w:rFonts w:ascii="Arial" w:hAnsi="Arial" w:cs="Arial"/>
                <w:b/>
                <w:bCs/>
                <w:sz w:val="16"/>
                <w:szCs w:val="16"/>
              </w:rPr>
            </w:pPr>
          </w:p>
        </w:tc>
        <w:tc>
          <w:tcPr>
            <w:tcW w:w="657" w:type="pct"/>
            <w:tcBorders>
              <w:top w:val="single" w:sz="4" w:space="0" w:color="293F5B"/>
              <w:left w:val="nil"/>
              <w:bottom w:val="single" w:sz="4" w:space="0" w:color="293F5B"/>
              <w:right w:val="nil"/>
            </w:tcBorders>
            <w:shd w:val="clear" w:color="auto" w:fill="auto"/>
            <w:noWrap/>
            <w:vAlign w:val="center"/>
            <w:hideMark/>
          </w:tcPr>
          <w:p w14:paraId="484164D3"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2,449</w:t>
            </w:r>
          </w:p>
        </w:tc>
        <w:tc>
          <w:tcPr>
            <w:tcW w:w="657" w:type="pct"/>
            <w:tcBorders>
              <w:top w:val="single" w:sz="4" w:space="0" w:color="293F5B"/>
              <w:left w:val="nil"/>
              <w:bottom w:val="single" w:sz="4" w:space="0" w:color="293F5B"/>
              <w:right w:val="nil"/>
            </w:tcBorders>
            <w:shd w:val="clear" w:color="auto" w:fill="auto"/>
            <w:noWrap/>
            <w:vAlign w:val="center"/>
            <w:hideMark/>
          </w:tcPr>
          <w:p w14:paraId="0FC5D2CA"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5.2</w:t>
            </w:r>
          </w:p>
        </w:tc>
      </w:tr>
      <w:tr w:rsidR="00AB5336" w:rsidRPr="00966BD4" w14:paraId="1646F6A2" w14:textId="77777777" w:rsidTr="00B43927">
        <w:trPr>
          <w:trHeight w:hRule="exact" w:val="225"/>
        </w:trPr>
        <w:tc>
          <w:tcPr>
            <w:tcW w:w="2182" w:type="pct"/>
            <w:tcBorders>
              <w:top w:val="nil"/>
              <w:left w:val="nil"/>
              <w:bottom w:val="single" w:sz="4" w:space="0" w:color="293F5B"/>
              <w:right w:val="nil"/>
            </w:tcBorders>
            <w:shd w:val="clear" w:color="auto" w:fill="auto"/>
            <w:noWrap/>
            <w:vAlign w:val="center"/>
            <w:hideMark/>
          </w:tcPr>
          <w:p w14:paraId="7737E09E"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Total revenue</w:t>
            </w:r>
          </w:p>
        </w:tc>
        <w:tc>
          <w:tcPr>
            <w:tcW w:w="727" w:type="pct"/>
            <w:tcBorders>
              <w:top w:val="nil"/>
              <w:left w:val="nil"/>
              <w:bottom w:val="single" w:sz="4" w:space="0" w:color="293F5B"/>
              <w:right w:val="nil"/>
            </w:tcBorders>
            <w:shd w:val="clear" w:color="000000" w:fill="FFFFFF"/>
            <w:noWrap/>
            <w:vAlign w:val="center"/>
            <w:hideMark/>
          </w:tcPr>
          <w:p w14:paraId="35B0FB18"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625,016</w:t>
            </w:r>
          </w:p>
        </w:tc>
        <w:tc>
          <w:tcPr>
            <w:tcW w:w="727" w:type="pct"/>
            <w:tcBorders>
              <w:top w:val="nil"/>
              <w:left w:val="nil"/>
              <w:bottom w:val="single" w:sz="4" w:space="0" w:color="293F5B"/>
              <w:right w:val="nil"/>
            </w:tcBorders>
            <w:shd w:val="clear" w:color="000000" w:fill="E6F2FF"/>
            <w:noWrap/>
            <w:vAlign w:val="center"/>
            <w:hideMark/>
          </w:tcPr>
          <w:p w14:paraId="619D9E8F"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653,767</w:t>
            </w:r>
          </w:p>
        </w:tc>
        <w:tc>
          <w:tcPr>
            <w:tcW w:w="51" w:type="pct"/>
            <w:tcBorders>
              <w:top w:val="nil"/>
              <w:left w:val="nil"/>
              <w:bottom w:val="single" w:sz="4" w:space="0" w:color="293F5B"/>
              <w:right w:val="nil"/>
            </w:tcBorders>
            <w:shd w:val="clear" w:color="auto" w:fill="auto"/>
            <w:noWrap/>
            <w:vAlign w:val="center"/>
            <w:hideMark/>
          </w:tcPr>
          <w:p w14:paraId="76D8C1CB"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657" w:type="pct"/>
            <w:tcBorders>
              <w:top w:val="nil"/>
              <w:left w:val="nil"/>
              <w:bottom w:val="single" w:sz="4" w:space="0" w:color="293F5B"/>
              <w:right w:val="nil"/>
            </w:tcBorders>
            <w:shd w:val="clear" w:color="auto" w:fill="auto"/>
            <w:noWrap/>
            <w:vAlign w:val="center"/>
            <w:hideMark/>
          </w:tcPr>
          <w:p w14:paraId="748F6D86"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28,750</w:t>
            </w:r>
          </w:p>
        </w:tc>
        <w:tc>
          <w:tcPr>
            <w:tcW w:w="657" w:type="pct"/>
            <w:tcBorders>
              <w:top w:val="nil"/>
              <w:left w:val="nil"/>
              <w:bottom w:val="single" w:sz="4" w:space="0" w:color="293F5B"/>
              <w:right w:val="nil"/>
            </w:tcBorders>
            <w:shd w:val="clear" w:color="auto" w:fill="auto"/>
            <w:noWrap/>
            <w:vAlign w:val="center"/>
            <w:hideMark/>
          </w:tcPr>
          <w:p w14:paraId="3D69935C"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4.6</w:t>
            </w:r>
          </w:p>
        </w:tc>
      </w:tr>
      <w:tr w:rsidR="00AB5336" w:rsidRPr="00966BD4" w14:paraId="12AA21F1" w14:textId="77777777" w:rsidTr="00B43927">
        <w:trPr>
          <w:trHeight w:hRule="exact" w:val="225"/>
        </w:trPr>
        <w:tc>
          <w:tcPr>
            <w:tcW w:w="2182" w:type="pct"/>
            <w:tcBorders>
              <w:top w:val="nil"/>
              <w:left w:val="nil"/>
              <w:bottom w:val="nil"/>
              <w:right w:val="nil"/>
            </w:tcBorders>
            <w:shd w:val="clear" w:color="auto" w:fill="auto"/>
            <w:noWrap/>
            <w:vAlign w:val="center"/>
            <w:hideMark/>
          </w:tcPr>
          <w:p w14:paraId="3B705FE5" w14:textId="77777777" w:rsidR="00AB5336" w:rsidRPr="00966BD4" w:rsidRDefault="00AB5336" w:rsidP="00AB5336">
            <w:pPr>
              <w:spacing w:before="0" w:after="0" w:line="240" w:lineRule="auto"/>
              <w:rPr>
                <w:rFonts w:ascii="Arial" w:hAnsi="Arial" w:cs="Arial"/>
                <w:i/>
                <w:iCs/>
                <w:sz w:val="16"/>
                <w:szCs w:val="16"/>
              </w:rPr>
            </w:pPr>
            <w:r w:rsidRPr="00966BD4">
              <w:rPr>
                <w:rFonts w:ascii="Arial" w:hAnsi="Arial" w:cs="Arial"/>
                <w:i/>
                <w:iCs/>
                <w:sz w:val="16"/>
                <w:szCs w:val="16"/>
              </w:rPr>
              <w:t>Memorandum:</w:t>
            </w:r>
          </w:p>
        </w:tc>
        <w:tc>
          <w:tcPr>
            <w:tcW w:w="727" w:type="pct"/>
            <w:tcBorders>
              <w:top w:val="nil"/>
              <w:left w:val="nil"/>
              <w:bottom w:val="nil"/>
              <w:right w:val="nil"/>
            </w:tcBorders>
            <w:shd w:val="clear" w:color="000000" w:fill="FFFFFF"/>
            <w:noWrap/>
            <w:vAlign w:val="center"/>
            <w:hideMark/>
          </w:tcPr>
          <w:p w14:paraId="611BB320" w14:textId="77777777" w:rsidR="00AB5336" w:rsidRPr="00966BD4" w:rsidRDefault="00AB5336" w:rsidP="00AB5336">
            <w:pPr>
              <w:spacing w:before="0" w:after="0" w:line="240" w:lineRule="auto"/>
              <w:jc w:val="right"/>
              <w:rPr>
                <w:rFonts w:ascii="Arial" w:hAnsi="Arial" w:cs="Arial"/>
                <w:b/>
                <w:bCs/>
                <w:sz w:val="16"/>
                <w:szCs w:val="16"/>
              </w:rPr>
            </w:pPr>
            <w:r w:rsidRPr="00966BD4">
              <w:rPr>
                <w:rFonts w:ascii="Arial" w:hAnsi="Arial" w:cs="Arial"/>
                <w:b/>
                <w:bCs/>
                <w:sz w:val="16"/>
                <w:szCs w:val="16"/>
              </w:rPr>
              <w:t> </w:t>
            </w:r>
          </w:p>
        </w:tc>
        <w:tc>
          <w:tcPr>
            <w:tcW w:w="727" w:type="pct"/>
            <w:tcBorders>
              <w:top w:val="nil"/>
              <w:left w:val="nil"/>
              <w:bottom w:val="nil"/>
              <w:right w:val="nil"/>
            </w:tcBorders>
            <w:shd w:val="clear" w:color="000000" w:fill="E6F2FF"/>
            <w:noWrap/>
            <w:vAlign w:val="center"/>
            <w:hideMark/>
          </w:tcPr>
          <w:p w14:paraId="7EB3B1C8" w14:textId="77777777" w:rsidR="00AB5336" w:rsidRPr="00966BD4" w:rsidRDefault="00AB5336" w:rsidP="00AB5336">
            <w:pPr>
              <w:spacing w:before="0" w:after="0" w:line="240" w:lineRule="auto"/>
              <w:rPr>
                <w:rFonts w:ascii="Arial" w:hAnsi="Arial" w:cs="Arial"/>
                <w:b/>
                <w:bCs/>
                <w:sz w:val="16"/>
                <w:szCs w:val="16"/>
              </w:rPr>
            </w:pPr>
            <w:r w:rsidRPr="00966BD4">
              <w:rPr>
                <w:rFonts w:ascii="Arial" w:hAnsi="Arial" w:cs="Arial"/>
                <w:b/>
                <w:bCs/>
                <w:sz w:val="16"/>
                <w:szCs w:val="16"/>
              </w:rPr>
              <w:t> </w:t>
            </w:r>
          </w:p>
        </w:tc>
        <w:tc>
          <w:tcPr>
            <w:tcW w:w="51" w:type="pct"/>
            <w:tcBorders>
              <w:top w:val="nil"/>
              <w:left w:val="nil"/>
              <w:bottom w:val="nil"/>
              <w:right w:val="nil"/>
            </w:tcBorders>
            <w:shd w:val="clear" w:color="auto" w:fill="auto"/>
            <w:noWrap/>
            <w:vAlign w:val="center"/>
            <w:hideMark/>
          </w:tcPr>
          <w:p w14:paraId="4EB839B8" w14:textId="77777777" w:rsidR="00AB5336" w:rsidRPr="00966BD4" w:rsidRDefault="00AB5336" w:rsidP="00AB5336">
            <w:pPr>
              <w:spacing w:before="0" w:after="0" w:line="240" w:lineRule="auto"/>
              <w:rPr>
                <w:rFonts w:ascii="Arial" w:hAnsi="Arial" w:cs="Arial"/>
                <w:b/>
                <w:bCs/>
                <w:sz w:val="16"/>
                <w:szCs w:val="16"/>
              </w:rPr>
            </w:pPr>
          </w:p>
        </w:tc>
        <w:tc>
          <w:tcPr>
            <w:tcW w:w="657" w:type="pct"/>
            <w:tcBorders>
              <w:top w:val="nil"/>
              <w:left w:val="nil"/>
              <w:bottom w:val="nil"/>
              <w:right w:val="nil"/>
            </w:tcBorders>
            <w:shd w:val="clear" w:color="auto" w:fill="auto"/>
            <w:noWrap/>
            <w:vAlign w:val="center"/>
            <w:hideMark/>
          </w:tcPr>
          <w:p w14:paraId="0C8B2F9F" w14:textId="77777777" w:rsidR="00AB5336" w:rsidRPr="00966BD4" w:rsidRDefault="00AB5336" w:rsidP="00AB5336">
            <w:pPr>
              <w:spacing w:before="0" w:after="0" w:line="240" w:lineRule="auto"/>
              <w:jc w:val="right"/>
              <w:rPr>
                <w:rFonts w:ascii="Times New Roman" w:hAnsi="Times New Roman"/>
                <w:sz w:val="20"/>
              </w:rPr>
            </w:pPr>
          </w:p>
        </w:tc>
        <w:tc>
          <w:tcPr>
            <w:tcW w:w="657" w:type="pct"/>
            <w:tcBorders>
              <w:top w:val="nil"/>
              <w:left w:val="nil"/>
              <w:bottom w:val="nil"/>
              <w:right w:val="nil"/>
            </w:tcBorders>
            <w:shd w:val="clear" w:color="auto" w:fill="auto"/>
            <w:noWrap/>
            <w:vAlign w:val="center"/>
            <w:hideMark/>
          </w:tcPr>
          <w:p w14:paraId="52AEB031" w14:textId="77777777" w:rsidR="00AB5336" w:rsidRPr="00966BD4" w:rsidRDefault="00AB5336" w:rsidP="00AB5336">
            <w:pPr>
              <w:spacing w:before="0" w:after="0" w:line="240" w:lineRule="auto"/>
              <w:jc w:val="right"/>
              <w:rPr>
                <w:rFonts w:ascii="Times New Roman" w:hAnsi="Times New Roman"/>
                <w:sz w:val="20"/>
              </w:rPr>
            </w:pPr>
          </w:p>
        </w:tc>
      </w:tr>
      <w:tr w:rsidR="00AB5336" w:rsidRPr="00966BD4" w14:paraId="24853F8E" w14:textId="77777777" w:rsidTr="00B43927">
        <w:trPr>
          <w:trHeight w:hRule="exact" w:val="225"/>
        </w:trPr>
        <w:tc>
          <w:tcPr>
            <w:tcW w:w="2182" w:type="pct"/>
            <w:tcBorders>
              <w:top w:val="nil"/>
              <w:left w:val="nil"/>
              <w:bottom w:val="nil"/>
              <w:right w:val="nil"/>
            </w:tcBorders>
            <w:shd w:val="clear" w:color="auto" w:fill="auto"/>
            <w:noWrap/>
            <w:vAlign w:val="center"/>
            <w:hideMark/>
          </w:tcPr>
          <w:p w14:paraId="23E4E1BC" w14:textId="77777777" w:rsidR="00AB5336" w:rsidRPr="00966BD4" w:rsidRDefault="00AB5336" w:rsidP="00B43927">
            <w:pPr>
              <w:spacing w:before="0" w:after="0" w:line="240" w:lineRule="auto"/>
              <w:ind w:left="170"/>
              <w:rPr>
                <w:rFonts w:ascii="Arial" w:hAnsi="Arial" w:cs="Arial"/>
                <w:i/>
                <w:iCs/>
                <w:sz w:val="16"/>
                <w:szCs w:val="16"/>
              </w:rPr>
            </w:pPr>
            <w:r w:rsidRPr="00966BD4">
              <w:rPr>
                <w:rFonts w:ascii="Arial" w:hAnsi="Arial" w:cs="Arial"/>
                <w:i/>
                <w:iCs/>
                <w:sz w:val="16"/>
                <w:szCs w:val="16"/>
              </w:rPr>
              <w:t>Total excise</w:t>
            </w:r>
          </w:p>
        </w:tc>
        <w:tc>
          <w:tcPr>
            <w:tcW w:w="727" w:type="pct"/>
            <w:tcBorders>
              <w:top w:val="nil"/>
              <w:left w:val="nil"/>
              <w:bottom w:val="nil"/>
              <w:right w:val="nil"/>
            </w:tcBorders>
            <w:shd w:val="clear" w:color="auto" w:fill="auto"/>
            <w:noWrap/>
            <w:vAlign w:val="center"/>
            <w:hideMark/>
          </w:tcPr>
          <w:p w14:paraId="1EB4B234"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26,070</w:t>
            </w:r>
          </w:p>
        </w:tc>
        <w:tc>
          <w:tcPr>
            <w:tcW w:w="727" w:type="pct"/>
            <w:tcBorders>
              <w:top w:val="nil"/>
              <w:left w:val="nil"/>
              <w:bottom w:val="nil"/>
              <w:right w:val="nil"/>
            </w:tcBorders>
            <w:shd w:val="clear" w:color="000000" w:fill="E6F2FF"/>
            <w:noWrap/>
            <w:vAlign w:val="center"/>
            <w:hideMark/>
          </w:tcPr>
          <w:p w14:paraId="1525449E"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26,150</w:t>
            </w:r>
          </w:p>
        </w:tc>
        <w:tc>
          <w:tcPr>
            <w:tcW w:w="51" w:type="pct"/>
            <w:tcBorders>
              <w:top w:val="nil"/>
              <w:left w:val="nil"/>
              <w:bottom w:val="nil"/>
              <w:right w:val="nil"/>
            </w:tcBorders>
            <w:shd w:val="clear" w:color="auto" w:fill="auto"/>
            <w:noWrap/>
            <w:vAlign w:val="center"/>
            <w:hideMark/>
          </w:tcPr>
          <w:p w14:paraId="51C61F10" w14:textId="77777777" w:rsidR="00AB5336" w:rsidRPr="00966BD4" w:rsidRDefault="00AB5336" w:rsidP="00AB5336">
            <w:pPr>
              <w:spacing w:before="0" w:after="0" w:line="240" w:lineRule="auto"/>
              <w:jc w:val="right"/>
              <w:rPr>
                <w:rFonts w:ascii="Arial" w:hAnsi="Arial" w:cs="Arial"/>
                <w:i/>
                <w:iCs/>
                <w:sz w:val="16"/>
                <w:szCs w:val="16"/>
              </w:rPr>
            </w:pPr>
          </w:p>
        </w:tc>
        <w:tc>
          <w:tcPr>
            <w:tcW w:w="657" w:type="pct"/>
            <w:tcBorders>
              <w:top w:val="nil"/>
              <w:left w:val="nil"/>
              <w:bottom w:val="nil"/>
              <w:right w:val="nil"/>
            </w:tcBorders>
            <w:shd w:val="clear" w:color="auto" w:fill="auto"/>
            <w:noWrap/>
            <w:vAlign w:val="center"/>
            <w:hideMark/>
          </w:tcPr>
          <w:p w14:paraId="38A29576"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80</w:t>
            </w:r>
          </w:p>
        </w:tc>
        <w:tc>
          <w:tcPr>
            <w:tcW w:w="657" w:type="pct"/>
            <w:tcBorders>
              <w:top w:val="nil"/>
              <w:left w:val="nil"/>
              <w:bottom w:val="nil"/>
              <w:right w:val="nil"/>
            </w:tcBorders>
            <w:shd w:val="clear" w:color="auto" w:fill="auto"/>
            <w:noWrap/>
            <w:vAlign w:val="center"/>
            <w:hideMark/>
          </w:tcPr>
          <w:p w14:paraId="504C91E1"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0.3</w:t>
            </w:r>
          </w:p>
        </w:tc>
      </w:tr>
      <w:tr w:rsidR="00AB5336" w:rsidRPr="00966BD4" w14:paraId="44F9C38C" w14:textId="77777777" w:rsidTr="00B43927">
        <w:trPr>
          <w:trHeight w:hRule="exact" w:val="225"/>
        </w:trPr>
        <w:tc>
          <w:tcPr>
            <w:tcW w:w="2182" w:type="pct"/>
            <w:tcBorders>
              <w:top w:val="nil"/>
              <w:left w:val="nil"/>
              <w:bottom w:val="nil"/>
              <w:right w:val="nil"/>
            </w:tcBorders>
            <w:shd w:val="clear" w:color="auto" w:fill="auto"/>
            <w:noWrap/>
            <w:vAlign w:val="center"/>
            <w:hideMark/>
          </w:tcPr>
          <w:p w14:paraId="26E3E3C2" w14:textId="77777777" w:rsidR="00AB5336" w:rsidRPr="00966BD4" w:rsidRDefault="00AB5336" w:rsidP="00B43927">
            <w:pPr>
              <w:spacing w:before="0" w:after="0" w:line="240" w:lineRule="auto"/>
              <w:ind w:left="170"/>
              <w:rPr>
                <w:rFonts w:ascii="Arial" w:hAnsi="Arial" w:cs="Arial"/>
                <w:i/>
                <w:iCs/>
                <w:sz w:val="16"/>
                <w:szCs w:val="16"/>
              </w:rPr>
            </w:pPr>
            <w:r w:rsidRPr="00966BD4">
              <w:rPr>
                <w:rFonts w:ascii="Arial" w:hAnsi="Arial" w:cs="Arial"/>
                <w:i/>
                <w:iCs/>
                <w:sz w:val="16"/>
                <w:szCs w:val="16"/>
              </w:rPr>
              <w:t>Total customs duty</w:t>
            </w:r>
          </w:p>
        </w:tc>
        <w:tc>
          <w:tcPr>
            <w:tcW w:w="727" w:type="pct"/>
            <w:tcBorders>
              <w:top w:val="nil"/>
              <w:left w:val="nil"/>
              <w:bottom w:val="nil"/>
              <w:right w:val="nil"/>
            </w:tcBorders>
            <w:shd w:val="clear" w:color="auto" w:fill="auto"/>
            <w:noWrap/>
            <w:vAlign w:val="center"/>
            <w:hideMark/>
          </w:tcPr>
          <w:p w14:paraId="0FA553A9"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16,820</w:t>
            </w:r>
          </w:p>
        </w:tc>
        <w:tc>
          <w:tcPr>
            <w:tcW w:w="727" w:type="pct"/>
            <w:tcBorders>
              <w:top w:val="nil"/>
              <w:left w:val="nil"/>
              <w:bottom w:val="nil"/>
              <w:right w:val="nil"/>
            </w:tcBorders>
            <w:shd w:val="clear" w:color="000000" w:fill="E6F2FF"/>
            <w:noWrap/>
            <w:vAlign w:val="center"/>
            <w:hideMark/>
          </w:tcPr>
          <w:p w14:paraId="54872720"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17,180</w:t>
            </w:r>
          </w:p>
        </w:tc>
        <w:tc>
          <w:tcPr>
            <w:tcW w:w="51" w:type="pct"/>
            <w:tcBorders>
              <w:top w:val="nil"/>
              <w:left w:val="nil"/>
              <w:bottom w:val="nil"/>
              <w:right w:val="nil"/>
            </w:tcBorders>
            <w:shd w:val="clear" w:color="auto" w:fill="auto"/>
            <w:noWrap/>
            <w:vAlign w:val="center"/>
            <w:hideMark/>
          </w:tcPr>
          <w:p w14:paraId="5FF4E152" w14:textId="77777777" w:rsidR="00AB5336" w:rsidRPr="00966BD4" w:rsidRDefault="00AB5336" w:rsidP="00AB5336">
            <w:pPr>
              <w:spacing w:before="0" w:after="0" w:line="240" w:lineRule="auto"/>
              <w:jc w:val="right"/>
              <w:rPr>
                <w:rFonts w:ascii="Arial" w:hAnsi="Arial" w:cs="Arial"/>
                <w:i/>
                <w:iCs/>
                <w:sz w:val="16"/>
                <w:szCs w:val="16"/>
              </w:rPr>
            </w:pPr>
          </w:p>
        </w:tc>
        <w:tc>
          <w:tcPr>
            <w:tcW w:w="657" w:type="pct"/>
            <w:tcBorders>
              <w:top w:val="nil"/>
              <w:left w:val="nil"/>
              <w:bottom w:val="nil"/>
              <w:right w:val="nil"/>
            </w:tcBorders>
            <w:shd w:val="clear" w:color="auto" w:fill="auto"/>
            <w:noWrap/>
            <w:vAlign w:val="center"/>
            <w:hideMark/>
          </w:tcPr>
          <w:p w14:paraId="5074F9CE"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360</w:t>
            </w:r>
          </w:p>
        </w:tc>
        <w:tc>
          <w:tcPr>
            <w:tcW w:w="657" w:type="pct"/>
            <w:tcBorders>
              <w:top w:val="nil"/>
              <w:left w:val="nil"/>
              <w:bottom w:val="nil"/>
              <w:right w:val="nil"/>
            </w:tcBorders>
            <w:shd w:val="clear" w:color="auto" w:fill="auto"/>
            <w:noWrap/>
            <w:vAlign w:val="center"/>
            <w:hideMark/>
          </w:tcPr>
          <w:p w14:paraId="32A026B5"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2.1</w:t>
            </w:r>
          </w:p>
        </w:tc>
      </w:tr>
      <w:tr w:rsidR="00AB5336" w:rsidRPr="00966BD4" w14:paraId="65B6FB06" w14:textId="77777777" w:rsidTr="00B43927">
        <w:trPr>
          <w:trHeight w:hRule="exact" w:val="225"/>
        </w:trPr>
        <w:tc>
          <w:tcPr>
            <w:tcW w:w="2182" w:type="pct"/>
            <w:tcBorders>
              <w:top w:val="nil"/>
              <w:left w:val="nil"/>
              <w:bottom w:val="single" w:sz="4" w:space="0" w:color="293F5B"/>
              <w:right w:val="nil"/>
            </w:tcBorders>
            <w:shd w:val="clear" w:color="auto" w:fill="auto"/>
            <w:noWrap/>
            <w:vAlign w:val="center"/>
            <w:hideMark/>
          </w:tcPr>
          <w:p w14:paraId="3CCFAAE0" w14:textId="77777777" w:rsidR="00AB5336" w:rsidRPr="00966BD4" w:rsidRDefault="00AB5336" w:rsidP="00B43927">
            <w:pPr>
              <w:spacing w:before="0" w:after="0" w:line="240" w:lineRule="auto"/>
              <w:ind w:left="170"/>
              <w:rPr>
                <w:rFonts w:ascii="Arial" w:hAnsi="Arial" w:cs="Arial"/>
                <w:i/>
                <w:iCs/>
                <w:sz w:val="16"/>
                <w:szCs w:val="16"/>
              </w:rPr>
            </w:pPr>
            <w:r w:rsidRPr="00966BD4">
              <w:rPr>
                <w:rFonts w:ascii="Arial" w:hAnsi="Arial" w:cs="Arial"/>
                <w:i/>
                <w:iCs/>
                <w:sz w:val="16"/>
                <w:szCs w:val="16"/>
              </w:rPr>
              <w:t>Capital gains tax(c)</w:t>
            </w:r>
          </w:p>
        </w:tc>
        <w:tc>
          <w:tcPr>
            <w:tcW w:w="727" w:type="pct"/>
            <w:tcBorders>
              <w:top w:val="nil"/>
              <w:left w:val="nil"/>
              <w:bottom w:val="single" w:sz="4" w:space="0" w:color="293F5B"/>
              <w:right w:val="nil"/>
            </w:tcBorders>
            <w:shd w:val="clear" w:color="000000" w:fill="FFFFFF"/>
            <w:noWrap/>
            <w:vAlign w:val="center"/>
            <w:hideMark/>
          </w:tcPr>
          <w:p w14:paraId="05DB2520"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21,900</w:t>
            </w:r>
          </w:p>
        </w:tc>
        <w:tc>
          <w:tcPr>
            <w:tcW w:w="727" w:type="pct"/>
            <w:tcBorders>
              <w:top w:val="nil"/>
              <w:left w:val="nil"/>
              <w:bottom w:val="single" w:sz="4" w:space="0" w:color="293F5B"/>
              <w:right w:val="nil"/>
            </w:tcBorders>
            <w:shd w:val="clear" w:color="000000" w:fill="E6F2FF"/>
            <w:noWrap/>
            <w:vAlign w:val="center"/>
            <w:hideMark/>
          </w:tcPr>
          <w:p w14:paraId="432BF69F"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28,600</w:t>
            </w:r>
          </w:p>
        </w:tc>
        <w:tc>
          <w:tcPr>
            <w:tcW w:w="51" w:type="pct"/>
            <w:tcBorders>
              <w:top w:val="nil"/>
              <w:left w:val="nil"/>
              <w:bottom w:val="single" w:sz="4" w:space="0" w:color="293F5B"/>
              <w:right w:val="nil"/>
            </w:tcBorders>
            <w:shd w:val="clear" w:color="auto" w:fill="auto"/>
            <w:noWrap/>
            <w:vAlign w:val="center"/>
            <w:hideMark/>
          </w:tcPr>
          <w:p w14:paraId="08A0FBDF"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 </w:t>
            </w:r>
          </w:p>
        </w:tc>
        <w:tc>
          <w:tcPr>
            <w:tcW w:w="657" w:type="pct"/>
            <w:tcBorders>
              <w:top w:val="nil"/>
              <w:left w:val="nil"/>
              <w:bottom w:val="single" w:sz="4" w:space="0" w:color="293F5B"/>
              <w:right w:val="nil"/>
            </w:tcBorders>
            <w:shd w:val="clear" w:color="auto" w:fill="auto"/>
            <w:noWrap/>
            <w:vAlign w:val="center"/>
            <w:hideMark/>
          </w:tcPr>
          <w:p w14:paraId="22EB3FC7"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6,700</w:t>
            </w:r>
          </w:p>
        </w:tc>
        <w:tc>
          <w:tcPr>
            <w:tcW w:w="657" w:type="pct"/>
            <w:tcBorders>
              <w:top w:val="nil"/>
              <w:left w:val="nil"/>
              <w:bottom w:val="single" w:sz="4" w:space="0" w:color="293F5B"/>
              <w:right w:val="nil"/>
            </w:tcBorders>
            <w:shd w:val="clear" w:color="auto" w:fill="auto"/>
            <w:noWrap/>
            <w:vAlign w:val="center"/>
            <w:hideMark/>
          </w:tcPr>
          <w:p w14:paraId="35FA7DC0" w14:textId="77777777" w:rsidR="00AB5336" w:rsidRPr="00966BD4" w:rsidRDefault="00AB5336" w:rsidP="00AB5336">
            <w:pPr>
              <w:spacing w:before="0" w:after="0" w:line="240" w:lineRule="auto"/>
              <w:jc w:val="right"/>
              <w:rPr>
                <w:rFonts w:ascii="Arial" w:hAnsi="Arial" w:cs="Arial"/>
                <w:i/>
                <w:iCs/>
                <w:sz w:val="16"/>
                <w:szCs w:val="16"/>
              </w:rPr>
            </w:pPr>
            <w:r w:rsidRPr="00966BD4">
              <w:rPr>
                <w:rFonts w:ascii="Arial" w:hAnsi="Arial" w:cs="Arial"/>
                <w:i/>
                <w:iCs/>
                <w:sz w:val="16"/>
                <w:szCs w:val="16"/>
              </w:rPr>
              <w:t>30.6</w:t>
            </w:r>
          </w:p>
        </w:tc>
      </w:tr>
    </w:tbl>
    <w:p w14:paraId="6337F7CB" w14:textId="1E355744" w:rsidR="00FB1AAD" w:rsidRPr="00966BD4" w:rsidRDefault="001B77CF" w:rsidP="00B43927">
      <w:pPr>
        <w:pStyle w:val="ChartandTableFootnoteAlpha"/>
        <w:numPr>
          <w:ilvl w:val="0"/>
          <w:numId w:val="30"/>
        </w:numPr>
        <w:rPr>
          <w:rFonts w:eastAsiaTheme="minorHAnsi"/>
          <w:color w:val="auto"/>
        </w:rPr>
      </w:pPr>
      <w:r>
        <w:rPr>
          <w:color w:val="auto"/>
        </w:rPr>
        <w:t>‘</w:t>
      </w:r>
      <w:r w:rsidR="00F611ED" w:rsidRPr="00966BD4">
        <w:rPr>
          <w:color w:val="auto"/>
        </w:rPr>
        <w:t>Other alcoholic beverages</w:t>
      </w:r>
      <w:r>
        <w:rPr>
          <w:color w:val="auto"/>
        </w:rPr>
        <w:t>’</w:t>
      </w:r>
      <w:r w:rsidR="00F611ED" w:rsidRPr="00966BD4">
        <w:rPr>
          <w:color w:val="auto"/>
        </w:rPr>
        <w:t xml:space="preserve"> are those not exceeding 10 per cent by volume of alcohol (excluding beer, brandy and wine).</w:t>
      </w:r>
      <w:r w:rsidR="006961D3" w:rsidRPr="00966BD4">
        <w:rPr>
          <w:color w:val="auto"/>
        </w:rPr>
        <w:t xml:space="preserve"> </w:t>
      </w:r>
    </w:p>
    <w:p w14:paraId="752A0E72" w14:textId="692F5D54" w:rsidR="004B1E8F" w:rsidRPr="00966BD4" w:rsidRDefault="004B1E8F" w:rsidP="00B472FA">
      <w:pPr>
        <w:pStyle w:val="ChartandTableFootnoteAlpha"/>
        <w:spacing w:before="0"/>
        <w:rPr>
          <w:color w:val="auto"/>
        </w:rPr>
      </w:pPr>
      <w:r w:rsidRPr="00966BD4">
        <w:rPr>
          <w:color w:val="auto"/>
        </w:rPr>
        <w:t>Prior to the 202</w:t>
      </w:r>
      <w:r w:rsidR="00825B55" w:rsidRPr="00966BD4">
        <w:rPr>
          <w:color w:val="auto"/>
        </w:rPr>
        <w:t>2–2</w:t>
      </w:r>
      <w:r w:rsidRPr="00966BD4">
        <w:rPr>
          <w:color w:val="auto"/>
        </w:rPr>
        <w:t xml:space="preserve">3 October Budget, </w:t>
      </w:r>
      <w:r w:rsidR="001B77CF">
        <w:rPr>
          <w:color w:val="auto"/>
        </w:rPr>
        <w:t>‘</w:t>
      </w:r>
      <w:r w:rsidRPr="00966BD4">
        <w:rPr>
          <w:color w:val="auto"/>
        </w:rPr>
        <w:t>visa application charges</w:t>
      </w:r>
      <w:r w:rsidR="001B77CF">
        <w:rPr>
          <w:color w:val="auto"/>
        </w:rPr>
        <w:t>’</w:t>
      </w:r>
      <w:r w:rsidRPr="00966BD4">
        <w:rPr>
          <w:color w:val="auto"/>
        </w:rPr>
        <w:t xml:space="preserve"> were previously included in </w:t>
      </w:r>
      <w:r w:rsidR="001B77CF">
        <w:rPr>
          <w:color w:val="auto"/>
        </w:rPr>
        <w:t>‘</w:t>
      </w:r>
      <w:r w:rsidRPr="00966BD4">
        <w:rPr>
          <w:color w:val="auto"/>
        </w:rPr>
        <w:t xml:space="preserve">other </w:t>
      </w:r>
      <w:proofErr w:type="gramStart"/>
      <w:r w:rsidRPr="00966BD4">
        <w:rPr>
          <w:color w:val="auto"/>
        </w:rPr>
        <w:t>taxes</w:t>
      </w:r>
      <w:r w:rsidR="001B77CF">
        <w:rPr>
          <w:color w:val="auto"/>
        </w:rPr>
        <w:t>’</w:t>
      </w:r>
      <w:proofErr w:type="gramEnd"/>
      <w:r w:rsidRPr="00966BD4">
        <w:rPr>
          <w:color w:val="auto"/>
        </w:rPr>
        <w:t xml:space="preserve">. </w:t>
      </w:r>
    </w:p>
    <w:p w14:paraId="6979143D" w14:textId="072CFEA4" w:rsidR="005B0450" w:rsidRPr="00966BD4" w:rsidRDefault="001B77CF" w:rsidP="00B472FA">
      <w:pPr>
        <w:pStyle w:val="ChartandTableFootnoteAlpha"/>
        <w:pBdr>
          <w:bottom w:val="single" w:sz="4" w:space="1" w:color="auto"/>
        </w:pBdr>
        <w:spacing w:before="0"/>
        <w:rPr>
          <w:color w:val="auto"/>
        </w:rPr>
      </w:pPr>
      <w:r>
        <w:rPr>
          <w:color w:val="auto"/>
        </w:rPr>
        <w:t>‘</w:t>
      </w:r>
      <w:r w:rsidR="00FB1AAD" w:rsidRPr="00966BD4">
        <w:rPr>
          <w:color w:val="auto"/>
        </w:rPr>
        <w:t>Capital gains tax</w:t>
      </w:r>
      <w:r>
        <w:rPr>
          <w:color w:val="auto"/>
        </w:rPr>
        <w:t>’</w:t>
      </w:r>
      <w:r w:rsidR="00FB1AAD" w:rsidRPr="00966BD4">
        <w:rPr>
          <w:color w:val="auto"/>
        </w:rPr>
        <w:t xml:space="preserve"> is part of gross other individuals, company tax and superannuation fund taxes.</w:t>
      </w:r>
    </w:p>
    <w:p w14:paraId="7CE8B8BC" w14:textId="204550B1" w:rsidR="00AA3481" w:rsidRPr="00AA3481" w:rsidRDefault="00647693" w:rsidP="00AA3481">
      <w:pPr>
        <w:pStyle w:val="TableHeading"/>
        <w:rPr>
          <w:rFonts w:asciiTheme="minorHAnsi" w:eastAsiaTheme="minorHAnsi" w:hAnsiTheme="minorHAnsi" w:cstheme="minorBidi"/>
          <w:b w:val="0"/>
          <w:sz w:val="22"/>
          <w:szCs w:val="22"/>
          <w:lang w:eastAsia="en-US"/>
        </w:rPr>
      </w:pPr>
      <w:r w:rsidRPr="00966BD4">
        <w:lastRenderedPageBreak/>
        <w:t xml:space="preserve">Table 5.10: Reconciliation of </w:t>
      </w:r>
      <w:r w:rsidR="00825B55" w:rsidRPr="00966BD4">
        <w:t>2023–2</w:t>
      </w:r>
      <w:r w:rsidRPr="00966BD4">
        <w:t>4 general government (accrual) revenu</w:t>
      </w:r>
      <w:r w:rsidR="001244D4">
        <w:t>e</w:t>
      </w:r>
    </w:p>
    <w:tbl>
      <w:tblPr>
        <w:tblW w:w="5000" w:type="pct"/>
        <w:tblCellMar>
          <w:left w:w="0" w:type="dxa"/>
          <w:right w:w="28" w:type="dxa"/>
        </w:tblCellMar>
        <w:tblLook w:val="04A0" w:firstRow="1" w:lastRow="0" w:firstColumn="1" w:lastColumn="0" w:noHBand="0" w:noVBand="1"/>
      </w:tblPr>
      <w:tblGrid>
        <w:gridCol w:w="3305"/>
        <w:gridCol w:w="1149"/>
        <w:gridCol w:w="1064"/>
        <w:gridCol w:w="73"/>
        <w:gridCol w:w="1060"/>
        <w:gridCol w:w="1059"/>
      </w:tblGrid>
      <w:tr w:rsidR="00AA3481" w:rsidRPr="00CB3EC8" w14:paraId="7695208A" w14:textId="77777777" w:rsidTr="00AA3481">
        <w:trPr>
          <w:divId w:val="1651399002"/>
          <w:trHeight w:hRule="exact" w:val="226"/>
        </w:trPr>
        <w:tc>
          <w:tcPr>
            <w:tcW w:w="2144" w:type="pct"/>
            <w:tcBorders>
              <w:top w:val="single" w:sz="4" w:space="0" w:color="293F5B"/>
              <w:left w:val="nil"/>
              <w:bottom w:val="nil"/>
              <w:right w:val="nil"/>
            </w:tcBorders>
            <w:shd w:val="clear" w:color="auto" w:fill="auto"/>
            <w:noWrap/>
            <w:vAlign w:val="center"/>
            <w:hideMark/>
          </w:tcPr>
          <w:p w14:paraId="7FE3A5E3" w14:textId="4F5EA4E5" w:rsidR="00AA3481" w:rsidRPr="00AA3481" w:rsidRDefault="00AA3481" w:rsidP="00AA3481">
            <w:pPr>
              <w:spacing w:before="0" w:after="0" w:line="240" w:lineRule="auto"/>
              <w:rPr>
                <w:rFonts w:ascii="Arial" w:hAnsi="Arial" w:cs="Arial"/>
                <w:sz w:val="16"/>
                <w:szCs w:val="16"/>
              </w:rPr>
            </w:pPr>
            <w:r w:rsidRPr="00AA3481">
              <w:rPr>
                <w:rFonts w:ascii="Arial" w:hAnsi="Arial" w:cs="Arial"/>
                <w:sz w:val="16"/>
                <w:szCs w:val="16"/>
              </w:rPr>
              <w:t> </w:t>
            </w:r>
          </w:p>
        </w:tc>
        <w:tc>
          <w:tcPr>
            <w:tcW w:w="1435" w:type="pct"/>
            <w:gridSpan w:val="2"/>
            <w:tcBorders>
              <w:top w:val="single" w:sz="4" w:space="0" w:color="293F5B"/>
              <w:left w:val="nil"/>
              <w:bottom w:val="nil"/>
              <w:right w:val="nil"/>
            </w:tcBorders>
            <w:shd w:val="clear" w:color="auto" w:fill="auto"/>
            <w:noWrap/>
            <w:vAlign w:val="center"/>
            <w:hideMark/>
          </w:tcPr>
          <w:p w14:paraId="5B5FFE0F" w14:textId="77777777" w:rsidR="00AA3481" w:rsidRPr="00CB3EC8" w:rsidRDefault="00AA3481" w:rsidP="00AA3481">
            <w:pPr>
              <w:spacing w:before="0" w:after="0" w:line="240" w:lineRule="auto"/>
              <w:jc w:val="center"/>
              <w:rPr>
                <w:rFonts w:ascii="Arial" w:hAnsi="Arial" w:cs="Arial"/>
                <w:sz w:val="16"/>
                <w:szCs w:val="16"/>
              </w:rPr>
            </w:pPr>
            <w:r w:rsidRPr="00CB3EC8">
              <w:rPr>
                <w:rFonts w:ascii="Arial" w:hAnsi="Arial" w:cs="Arial"/>
                <w:sz w:val="16"/>
                <w:szCs w:val="16"/>
              </w:rPr>
              <w:t>Estimates</w:t>
            </w:r>
          </w:p>
        </w:tc>
        <w:tc>
          <w:tcPr>
            <w:tcW w:w="47" w:type="pct"/>
            <w:tcBorders>
              <w:top w:val="single" w:sz="4" w:space="0" w:color="293F5B"/>
              <w:left w:val="nil"/>
              <w:bottom w:val="nil"/>
              <w:right w:val="nil"/>
            </w:tcBorders>
            <w:shd w:val="clear" w:color="auto" w:fill="auto"/>
            <w:noWrap/>
            <w:vAlign w:val="center"/>
            <w:hideMark/>
          </w:tcPr>
          <w:p w14:paraId="0CA2646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4CF1E2C3" w14:textId="77777777" w:rsidR="00AA3481" w:rsidRPr="00CB3EC8" w:rsidRDefault="00AA3481" w:rsidP="00AA3481">
            <w:pPr>
              <w:spacing w:before="0" w:after="0" w:line="240" w:lineRule="auto"/>
              <w:jc w:val="center"/>
              <w:rPr>
                <w:rFonts w:ascii="Arial" w:hAnsi="Arial" w:cs="Arial"/>
                <w:sz w:val="16"/>
                <w:szCs w:val="16"/>
              </w:rPr>
            </w:pPr>
            <w:r w:rsidRPr="00CB3EC8">
              <w:rPr>
                <w:rFonts w:ascii="Arial" w:hAnsi="Arial" w:cs="Arial"/>
                <w:sz w:val="16"/>
                <w:szCs w:val="16"/>
              </w:rPr>
              <w:t>Change from October Budget</w:t>
            </w:r>
          </w:p>
        </w:tc>
      </w:tr>
      <w:tr w:rsidR="00AA3481" w:rsidRPr="00CB3EC8" w14:paraId="520B29D9"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20E35D5" w14:textId="77777777" w:rsidR="00AA3481" w:rsidRPr="00CB3EC8" w:rsidRDefault="00AA3481" w:rsidP="00AA3481">
            <w:pPr>
              <w:spacing w:before="0" w:after="0" w:line="240" w:lineRule="auto"/>
              <w:jc w:val="center"/>
              <w:rPr>
                <w:rFonts w:ascii="Arial" w:hAnsi="Arial" w:cs="Arial"/>
                <w:sz w:val="16"/>
                <w:szCs w:val="16"/>
              </w:rPr>
            </w:pPr>
          </w:p>
        </w:tc>
        <w:tc>
          <w:tcPr>
            <w:tcW w:w="745" w:type="pct"/>
            <w:tcBorders>
              <w:top w:val="single" w:sz="4" w:space="0" w:color="293F5B"/>
              <w:left w:val="nil"/>
              <w:bottom w:val="nil"/>
              <w:right w:val="nil"/>
            </w:tcBorders>
            <w:shd w:val="clear" w:color="000000" w:fill="FFFFFF"/>
            <w:noWrap/>
            <w:vAlign w:val="center"/>
            <w:hideMark/>
          </w:tcPr>
          <w:p w14:paraId="0634153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October Budget</w:t>
            </w:r>
          </w:p>
        </w:tc>
        <w:tc>
          <w:tcPr>
            <w:tcW w:w="689" w:type="pct"/>
            <w:tcBorders>
              <w:top w:val="single" w:sz="4" w:space="0" w:color="293F5B"/>
              <w:left w:val="nil"/>
              <w:bottom w:val="nil"/>
              <w:right w:val="nil"/>
            </w:tcBorders>
            <w:shd w:val="clear" w:color="000000" w:fill="E6F2FF"/>
            <w:noWrap/>
            <w:vAlign w:val="center"/>
            <w:hideMark/>
          </w:tcPr>
          <w:p w14:paraId="171E4A2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Budget</w:t>
            </w:r>
          </w:p>
        </w:tc>
        <w:tc>
          <w:tcPr>
            <w:tcW w:w="47" w:type="pct"/>
            <w:tcBorders>
              <w:top w:val="nil"/>
              <w:left w:val="nil"/>
              <w:bottom w:val="nil"/>
              <w:right w:val="nil"/>
            </w:tcBorders>
            <w:shd w:val="clear" w:color="auto" w:fill="auto"/>
            <w:noWrap/>
            <w:vAlign w:val="center"/>
            <w:hideMark/>
          </w:tcPr>
          <w:p w14:paraId="000F80FB"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single" w:sz="4" w:space="0" w:color="293F5B"/>
              <w:left w:val="nil"/>
              <w:bottom w:val="nil"/>
              <w:right w:val="nil"/>
            </w:tcBorders>
            <w:shd w:val="clear" w:color="auto" w:fill="auto"/>
            <w:noWrap/>
            <w:vAlign w:val="center"/>
            <w:hideMark/>
          </w:tcPr>
          <w:p w14:paraId="6DD3C33F"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 </w:t>
            </w:r>
          </w:p>
        </w:tc>
        <w:tc>
          <w:tcPr>
            <w:tcW w:w="687" w:type="pct"/>
            <w:tcBorders>
              <w:top w:val="single" w:sz="4" w:space="0" w:color="293F5B"/>
              <w:left w:val="nil"/>
              <w:bottom w:val="nil"/>
              <w:right w:val="nil"/>
            </w:tcBorders>
            <w:shd w:val="clear" w:color="auto" w:fill="auto"/>
            <w:noWrap/>
            <w:vAlign w:val="center"/>
            <w:hideMark/>
          </w:tcPr>
          <w:p w14:paraId="6FF62C3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 </w:t>
            </w:r>
          </w:p>
        </w:tc>
      </w:tr>
      <w:tr w:rsidR="00AA3481" w:rsidRPr="00CB3EC8" w14:paraId="2B9EAD6D" w14:textId="77777777" w:rsidTr="00AA3481">
        <w:trPr>
          <w:divId w:val="1651399002"/>
          <w:trHeight w:hRule="exact" w:val="226"/>
        </w:trPr>
        <w:tc>
          <w:tcPr>
            <w:tcW w:w="2144" w:type="pct"/>
            <w:tcBorders>
              <w:top w:val="nil"/>
              <w:left w:val="nil"/>
              <w:bottom w:val="nil"/>
              <w:right w:val="nil"/>
            </w:tcBorders>
            <w:shd w:val="clear" w:color="auto" w:fill="auto"/>
            <w:vAlign w:val="center"/>
            <w:hideMark/>
          </w:tcPr>
          <w:p w14:paraId="11514B04" w14:textId="77777777" w:rsidR="00AA3481" w:rsidRPr="00CB3EC8" w:rsidRDefault="00AA3481" w:rsidP="00AA3481">
            <w:pPr>
              <w:spacing w:before="0" w:after="0" w:line="240" w:lineRule="auto"/>
              <w:jc w:val="right"/>
              <w:rPr>
                <w:rFonts w:ascii="Arial" w:hAnsi="Arial" w:cs="Arial"/>
                <w:sz w:val="16"/>
                <w:szCs w:val="16"/>
              </w:rPr>
            </w:pPr>
          </w:p>
        </w:tc>
        <w:tc>
          <w:tcPr>
            <w:tcW w:w="745" w:type="pct"/>
            <w:tcBorders>
              <w:top w:val="nil"/>
              <w:left w:val="nil"/>
              <w:bottom w:val="nil"/>
              <w:right w:val="nil"/>
            </w:tcBorders>
            <w:shd w:val="clear" w:color="auto" w:fill="auto"/>
            <w:vAlign w:val="center"/>
            <w:hideMark/>
          </w:tcPr>
          <w:p w14:paraId="76B7A27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$m</w:t>
            </w:r>
          </w:p>
        </w:tc>
        <w:tc>
          <w:tcPr>
            <w:tcW w:w="689" w:type="pct"/>
            <w:tcBorders>
              <w:top w:val="nil"/>
              <w:left w:val="nil"/>
              <w:bottom w:val="nil"/>
              <w:right w:val="nil"/>
            </w:tcBorders>
            <w:shd w:val="clear" w:color="000000" w:fill="E6F2FF"/>
            <w:noWrap/>
            <w:vAlign w:val="center"/>
            <w:hideMark/>
          </w:tcPr>
          <w:p w14:paraId="7DE1343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$m</w:t>
            </w:r>
          </w:p>
        </w:tc>
        <w:tc>
          <w:tcPr>
            <w:tcW w:w="47" w:type="pct"/>
            <w:tcBorders>
              <w:top w:val="nil"/>
              <w:left w:val="nil"/>
              <w:bottom w:val="nil"/>
              <w:right w:val="nil"/>
            </w:tcBorders>
            <w:shd w:val="clear" w:color="auto" w:fill="auto"/>
            <w:vAlign w:val="center"/>
            <w:hideMark/>
          </w:tcPr>
          <w:p w14:paraId="439CA1E8"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vAlign w:val="center"/>
            <w:hideMark/>
          </w:tcPr>
          <w:p w14:paraId="6AFC143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$m</w:t>
            </w:r>
          </w:p>
        </w:tc>
        <w:tc>
          <w:tcPr>
            <w:tcW w:w="687" w:type="pct"/>
            <w:tcBorders>
              <w:top w:val="nil"/>
              <w:left w:val="nil"/>
              <w:bottom w:val="nil"/>
              <w:right w:val="nil"/>
            </w:tcBorders>
            <w:shd w:val="clear" w:color="auto" w:fill="auto"/>
            <w:vAlign w:val="center"/>
            <w:hideMark/>
          </w:tcPr>
          <w:p w14:paraId="63A0D1D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w:t>
            </w:r>
          </w:p>
        </w:tc>
      </w:tr>
      <w:tr w:rsidR="00AA3481" w:rsidRPr="00CB3EC8" w14:paraId="2FA4C7F2"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16FE84C"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Individuals and other withholding taxes</w:t>
            </w:r>
          </w:p>
        </w:tc>
        <w:tc>
          <w:tcPr>
            <w:tcW w:w="745" w:type="pct"/>
            <w:tcBorders>
              <w:top w:val="single" w:sz="4" w:space="0" w:color="293F5B"/>
              <w:left w:val="nil"/>
              <w:bottom w:val="nil"/>
              <w:right w:val="nil"/>
            </w:tcBorders>
            <w:shd w:val="clear" w:color="auto" w:fill="auto"/>
            <w:noWrap/>
            <w:vAlign w:val="center"/>
            <w:hideMark/>
          </w:tcPr>
          <w:p w14:paraId="3D2F59D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 </w:t>
            </w:r>
          </w:p>
        </w:tc>
        <w:tc>
          <w:tcPr>
            <w:tcW w:w="689" w:type="pct"/>
            <w:tcBorders>
              <w:top w:val="single" w:sz="4" w:space="0" w:color="293F5B"/>
              <w:left w:val="nil"/>
              <w:bottom w:val="nil"/>
              <w:right w:val="nil"/>
            </w:tcBorders>
            <w:shd w:val="clear" w:color="000000" w:fill="E6F2FF"/>
            <w:noWrap/>
            <w:vAlign w:val="center"/>
            <w:hideMark/>
          </w:tcPr>
          <w:p w14:paraId="5C9669B7"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 </w:t>
            </w:r>
          </w:p>
        </w:tc>
        <w:tc>
          <w:tcPr>
            <w:tcW w:w="47" w:type="pct"/>
            <w:tcBorders>
              <w:top w:val="nil"/>
              <w:left w:val="nil"/>
              <w:bottom w:val="nil"/>
              <w:right w:val="nil"/>
            </w:tcBorders>
            <w:shd w:val="clear" w:color="auto" w:fill="auto"/>
            <w:noWrap/>
            <w:vAlign w:val="center"/>
            <w:hideMark/>
          </w:tcPr>
          <w:p w14:paraId="11628A45" w14:textId="77777777" w:rsidR="00AA3481" w:rsidRPr="00CB3EC8" w:rsidRDefault="00AA3481" w:rsidP="00AA3481">
            <w:pPr>
              <w:spacing w:before="0" w:after="0" w:line="240" w:lineRule="auto"/>
              <w:rPr>
                <w:rFonts w:ascii="Arial" w:hAnsi="Arial" w:cs="Arial"/>
                <w:sz w:val="16"/>
                <w:szCs w:val="16"/>
              </w:rPr>
            </w:pPr>
          </w:p>
        </w:tc>
        <w:tc>
          <w:tcPr>
            <w:tcW w:w="687" w:type="pct"/>
            <w:tcBorders>
              <w:top w:val="single" w:sz="4" w:space="0" w:color="293F5B"/>
              <w:left w:val="nil"/>
              <w:bottom w:val="nil"/>
              <w:right w:val="nil"/>
            </w:tcBorders>
            <w:shd w:val="clear" w:color="auto" w:fill="auto"/>
            <w:noWrap/>
            <w:vAlign w:val="center"/>
            <w:hideMark/>
          </w:tcPr>
          <w:p w14:paraId="0C5F250E"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 </w:t>
            </w:r>
          </w:p>
        </w:tc>
        <w:tc>
          <w:tcPr>
            <w:tcW w:w="687" w:type="pct"/>
            <w:tcBorders>
              <w:top w:val="single" w:sz="4" w:space="0" w:color="293F5B"/>
              <w:left w:val="nil"/>
              <w:bottom w:val="nil"/>
              <w:right w:val="nil"/>
            </w:tcBorders>
            <w:shd w:val="clear" w:color="auto" w:fill="auto"/>
            <w:noWrap/>
            <w:vAlign w:val="center"/>
            <w:hideMark/>
          </w:tcPr>
          <w:p w14:paraId="391D2F1A"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 </w:t>
            </w:r>
          </w:p>
        </w:tc>
      </w:tr>
      <w:tr w:rsidR="00AA3481" w:rsidRPr="00CB3EC8" w14:paraId="6CAD26E5"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F975E09"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Gross income tax withholding</w:t>
            </w:r>
          </w:p>
        </w:tc>
        <w:tc>
          <w:tcPr>
            <w:tcW w:w="745" w:type="pct"/>
            <w:tcBorders>
              <w:top w:val="nil"/>
              <w:left w:val="nil"/>
              <w:bottom w:val="nil"/>
              <w:right w:val="nil"/>
            </w:tcBorders>
            <w:shd w:val="clear" w:color="auto" w:fill="auto"/>
            <w:noWrap/>
            <w:vAlign w:val="center"/>
            <w:hideMark/>
          </w:tcPr>
          <w:p w14:paraId="4CFF784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278,600</w:t>
            </w:r>
          </w:p>
        </w:tc>
        <w:tc>
          <w:tcPr>
            <w:tcW w:w="689" w:type="pct"/>
            <w:tcBorders>
              <w:top w:val="nil"/>
              <w:left w:val="nil"/>
              <w:bottom w:val="nil"/>
              <w:right w:val="nil"/>
            </w:tcBorders>
            <w:shd w:val="clear" w:color="000000" w:fill="E6F2FF"/>
            <w:noWrap/>
            <w:vAlign w:val="center"/>
            <w:hideMark/>
          </w:tcPr>
          <w:p w14:paraId="7FB6230A"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289,300</w:t>
            </w:r>
          </w:p>
        </w:tc>
        <w:tc>
          <w:tcPr>
            <w:tcW w:w="47" w:type="pct"/>
            <w:tcBorders>
              <w:top w:val="nil"/>
              <w:left w:val="nil"/>
              <w:bottom w:val="nil"/>
              <w:right w:val="nil"/>
            </w:tcBorders>
            <w:shd w:val="clear" w:color="auto" w:fill="auto"/>
            <w:noWrap/>
            <w:vAlign w:val="center"/>
            <w:hideMark/>
          </w:tcPr>
          <w:p w14:paraId="096B4261"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72DE2D9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10,700</w:t>
            </w:r>
          </w:p>
        </w:tc>
        <w:tc>
          <w:tcPr>
            <w:tcW w:w="687" w:type="pct"/>
            <w:tcBorders>
              <w:top w:val="nil"/>
              <w:left w:val="nil"/>
              <w:bottom w:val="nil"/>
              <w:right w:val="nil"/>
            </w:tcBorders>
            <w:shd w:val="clear" w:color="auto" w:fill="auto"/>
            <w:noWrap/>
            <w:vAlign w:val="center"/>
            <w:hideMark/>
          </w:tcPr>
          <w:p w14:paraId="50872BEE"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3.8</w:t>
            </w:r>
          </w:p>
        </w:tc>
      </w:tr>
      <w:tr w:rsidR="00AA3481" w:rsidRPr="00CB3EC8" w14:paraId="707CD61F"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49BA0C70"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Gross other individuals</w:t>
            </w:r>
          </w:p>
        </w:tc>
        <w:tc>
          <w:tcPr>
            <w:tcW w:w="745" w:type="pct"/>
            <w:tcBorders>
              <w:top w:val="nil"/>
              <w:left w:val="nil"/>
              <w:bottom w:val="nil"/>
              <w:right w:val="nil"/>
            </w:tcBorders>
            <w:shd w:val="clear" w:color="auto" w:fill="auto"/>
            <w:noWrap/>
            <w:vAlign w:val="center"/>
            <w:hideMark/>
          </w:tcPr>
          <w:p w14:paraId="017BF83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68,900</w:t>
            </w:r>
          </w:p>
        </w:tc>
        <w:tc>
          <w:tcPr>
            <w:tcW w:w="689" w:type="pct"/>
            <w:tcBorders>
              <w:top w:val="nil"/>
              <w:left w:val="nil"/>
              <w:bottom w:val="nil"/>
              <w:right w:val="nil"/>
            </w:tcBorders>
            <w:shd w:val="clear" w:color="000000" w:fill="E6F2FF"/>
            <w:noWrap/>
            <w:vAlign w:val="center"/>
            <w:hideMark/>
          </w:tcPr>
          <w:p w14:paraId="0BEEDD9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73,600</w:t>
            </w:r>
          </w:p>
        </w:tc>
        <w:tc>
          <w:tcPr>
            <w:tcW w:w="47" w:type="pct"/>
            <w:tcBorders>
              <w:top w:val="nil"/>
              <w:left w:val="nil"/>
              <w:bottom w:val="nil"/>
              <w:right w:val="nil"/>
            </w:tcBorders>
            <w:shd w:val="clear" w:color="auto" w:fill="auto"/>
            <w:noWrap/>
            <w:vAlign w:val="center"/>
            <w:hideMark/>
          </w:tcPr>
          <w:p w14:paraId="65B7510E"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4AD66B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4,700</w:t>
            </w:r>
          </w:p>
        </w:tc>
        <w:tc>
          <w:tcPr>
            <w:tcW w:w="687" w:type="pct"/>
            <w:tcBorders>
              <w:top w:val="nil"/>
              <w:left w:val="nil"/>
              <w:bottom w:val="nil"/>
              <w:right w:val="nil"/>
            </w:tcBorders>
            <w:shd w:val="clear" w:color="auto" w:fill="auto"/>
            <w:noWrap/>
            <w:vAlign w:val="center"/>
            <w:hideMark/>
          </w:tcPr>
          <w:p w14:paraId="4B49FD0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6.8</w:t>
            </w:r>
          </w:p>
        </w:tc>
      </w:tr>
      <w:tr w:rsidR="00AA3481" w:rsidRPr="00CB3EC8" w14:paraId="57EB6087"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02F68A3" w14:textId="77777777" w:rsidR="00AA3481" w:rsidRPr="00CB3EC8" w:rsidRDefault="00AA3481" w:rsidP="00AA3481">
            <w:pPr>
              <w:spacing w:before="0" w:after="0" w:line="240" w:lineRule="auto"/>
              <w:ind w:left="170"/>
              <w:rPr>
                <w:rFonts w:ascii="Arial" w:hAnsi="Arial" w:cs="Arial"/>
                <w:i/>
                <w:iCs/>
                <w:sz w:val="16"/>
                <w:szCs w:val="16"/>
              </w:rPr>
            </w:pPr>
            <w:r w:rsidRPr="00CB3EC8">
              <w:rPr>
                <w:rFonts w:ascii="Arial" w:hAnsi="Arial" w:cs="Arial"/>
                <w:i/>
                <w:iCs/>
                <w:sz w:val="16"/>
                <w:szCs w:val="16"/>
              </w:rPr>
              <w:t xml:space="preserve">less: </w:t>
            </w:r>
            <w:r w:rsidRPr="00CB3EC8">
              <w:rPr>
                <w:rFonts w:ascii="Arial" w:hAnsi="Arial" w:cs="Arial"/>
                <w:sz w:val="16"/>
                <w:szCs w:val="16"/>
              </w:rPr>
              <w:t>Refunds</w:t>
            </w:r>
          </w:p>
        </w:tc>
        <w:tc>
          <w:tcPr>
            <w:tcW w:w="745" w:type="pct"/>
            <w:tcBorders>
              <w:top w:val="nil"/>
              <w:left w:val="nil"/>
              <w:bottom w:val="single" w:sz="4" w:space="0" w:color="293F5B"/>
              <w:right w:val="nil"/>
            </w:tcBorders>
            <w:shd w:val="clear" w:color="auto" w:fill="auto"/>
            <w:noWrap/>
            <w:vAlign w:val="center"/>
            <w:hideMark/>
          </w:tcPr>
          <w:p w14:paraId="35CDF4F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36,000</w:t>
            </w:r>
          </w:p>
        </w:tc>
        <w:tc>
          <w:tcPr>
            <w:tcW w:w="689" w:type="pct"/>
            <w:tcBorders>
              <w:top w:val="nil"/>
              <w:left w:val="nil"/>
              <w:bottom w:val="single" w:sz="4" w:space="0" w:color="293F5B"/>
              <w:right w:val="nil"/>
            </w:tcBorders>
            <w:shd w:val="clear" w:color="000000" w:fill="E6F2FF"/>
            <w:noWrap/>
            <w:vAlign w:val="center"/>
            <w:hideMark/>
          </w:tcPr>
          <w:p w14:paraId="393C0AC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37,000</w:t>
            </w:r>
          </w:p>
        </w:tc>
        <w:tc>
          <w:tcPr>
            <w:tcW w:w="47" w:type="pct"/>
            <w:tcBorders>
              <w:top w:val="nil"/>
              <w:left w:val="nil"/>
              <w:bottom w:val="nil"/>
              <w:right w:val="nil"/>
            </w:tcBorders>
            <w:shd w:val="clear" w:color="auto" w:fill="auto"/>
            <w:noWrap/>
            <w:vAlign w:val="center"/>
            <w:hideMark/>
          </w:tcPr>
          <w:p w14:paraId="4F75D14D"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single" w:sz="4" w:space="0" w:color="293F5B"/>
              <w:right w:val="nil"/>
            </w:tcBorders>
            <w:shd w:val="clear" w:color="auto" w:fill="auto"/>
            <w:noWrap/>
            <w:vAlign w:val="center"/>
            <w:hideMark/>
          </w:tcPr>
          <w:p w14:paraId="75EB577A"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1,000</w:t>
            </w:r>
          </w:p>
        </w:tc>
        <w:tc>
          <w:tcPr>
            <w:tcW w:w="687" w:type="pct"/>
            <w:tcBorders>
              <w:top w:val="nil"/>
              <w:left w:val="nil"/>
              <w:bottom w:val="single" w:sz="4" w:space="0" w:color="293F5B"/>
              <w:right w:val="nil"/>
            </w:tcBorders>
            <w:shd w:val="clear" w:color="auto" w:fill="auto"/>
            <w:noWrap/>
            <w:vAlign w:val="center"/>
            <w:hideMark/>
          </w:tcPr>
          <w:p w14:paraId="6087E1B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2.8</w:t>
            </w:r>
          </w:p>
        </w:tc>
      </w:tr>
      <w:tr w:rsidR="00AA3481" w:rsidRPr="00CB3EC8" w14:paraId="280DC4B7"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7BE31194"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Total individuals and other withholding tax</w:t>
            </w:r>
          </w:p>
        </w:tc>
        <w:tc>
          <w:tcPr>
            <w:tcW w:w="745" w:type="pct"/>
            <w:tcBorders>
              <w:top w:val="nil"/>
              <w:left w:val="nil"/>
              <w:bottom w:val="nil"/>
              <w:right w:val="nil"/>
            </w:tcBorders>
            <w:shd w:val="clear" w:color="auto" w:fill="auto"/>
            <w:noWrap/>
            <w:vAlign w:val="center"/>
            <w:hideMark/>
          </w:tcPr>
          <w:p w14:paraId="5126423E"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311,500</w:t>
            </w:r>
          </w:p>
        </w:tc>
        <w:tc>
          <w:tcPr>
            <w:tcW w:w="689" w:type="pct"/>
            <w:tcBorders>
              <w:top w:val="nil"/>
              <w:left w:val="nil"/>
              <w:bottom w:val="nil"/>
              <w:right w:val="nil"/>
            </w:tcBorders>
            <w:shd w:val="clear" w:color="000000" w:fill="E6F2FF"/>
            <w:noWrap/>
            <w:vAlign w:val="center"/>
            <w:hideMark/>
          </w:tcPr>
          <w:p w14:paraId="43C8188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325,900</w:t>
            </w:r>
          </w:p>
        </w:tc>
        <w:tc>
          <w:tcPr>
            <w:tcW w:w="47" w:type="pct"/>
            <w:tcBorders>
              <w:top w:val="nil"/>
              <w:left w:val="nil"/>
              <w:bottom w:val="nil"/>
              <w:right w:val="nil"/>
            </w:tcBorders>
            <w:shd w:val="clear" w:color="auto" w:fill="auto"/>
            <w:noWrap/>
            <w:vAlign w:val="center"/>
            <w:hideMark/>
          </w:tcPr>
          <w:p w14:paraId="6E61718B"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2B4DC96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14,400</w:t>
            </w:r>
          </w:p>
        </w:tc>
        <w:tc>
          <w:tcPr>
            <w:tcW w:w="687" w:type="pct"/>
            <w:tcBorders>
              <w:top w:val="nil"/>
              <w:left w:val="nil"/>
              <w:bottom w:val="nil"/>
              <w:right w:val="nil"/>
            </w:tcBorders>
            <w:shd w:val="clear" w:color="auto" w:fill="auto"/>
            <w:noWrap/>
            <w:vAlign w:val="center"/>
            <w:hideMark/>
          </w:tcPr>
          <w:p w14:paraId="62350BA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4.6</w:t>
            </w:r>
          </w:p>
        </w:tc>
      </w:tr>
      <w:tr w:rsidR="00AA3481" w:rsidRPr="00CB3EC8" w14:paraId="1B46ECD8"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3340644B"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Fringe benefits tax</w:t>
            </w:r>
          </w:p>
        </w:tc>
        <w:tc>
          <w:tcPr>
            <w:tcW w:w="745" w:type="pct"/>
            <w:tcBorders>
              <w:top w:val="nil"/>
              <w:left w:val="nil"/>
              <w:bottom w:val="nil"/>
              <w:right w:val="nil"/>
            </w:tcBorders>
            <w:shd w:val="clear" w:color="auto" w:fill="auto"/>
            <w:noWrap/>
            <w:vAlign w:val="center"/>
            <w:hideMark/>
          </w:tcPr>
          <w:p w14:paraId="4854537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3,460</w:t>
            </w:r>
          </w:p>
        </w:tc>
        <w:tc>
          <w:tcPr>
            <w:tcW w:w="689" w:type="pct"/>
            <w:tcBorders>
              <w:top w:val="nil"/>
              <w:left w:val="nil"/>
              <w:bottom w:val="nil"/>
              <w:right w:val="nil"/>
            </w:tcBorders>
            <w:shd w:val="clear" w:color="000000" w:fill="E6F2FF"/>
            <w:noWrap/>
            <w:vAlign w:val="center"/>
            <w:hideMark/>
          </w:tcPr>
          <w:p w14:paraId="6613856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3,500</w:t>
            </w:r>
          </w:p>
        </w:tc>
        <w:tc>
          <w:tcPr>
            <w:tcW w:w="47" w:type="pct"/>
            <w:tcBorders>
              <w:top w:val="nil"/>
              <w:left w:val="nil"/>
              <w:bottom w:val="nil"/>
              <w:right w:val="nil"/>
            </w:tcBorders>
            <w:shd w:val="clear" w:color="auto" w:fill="auto"/>
            <w:noWrap/>
            <w:vAlign w:val="center"/>
            <w:hideMark/>
          </w:tcPr>
          <w:p w14:paraId="15F19397"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6FB7D32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40</w:t>
            </w:r>
          </w:p>
        </w:tc>
        <w:tc>
          <w:tcPr>
            <w:tcW w:w="687" w:type="pct"/>
            <w:tcBorders>
              <w:top w:val="nil"/>
              <w:left w:val="nil"/>
              <w:bottom w:val="nil"/>
              <w:right w:val="nil"/>
            </w:tcBorders>
            <w:shd w:val="clear" w:color="auto" w:fill="auto"/>
            <w:noWrap/>
            <w:vAlign w:val="center"/>
            <w:hideMark/>
          </w:tcPr>
          <w:p w14:paraId="7A2C946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w:t>
            </w:r>
          </w:p>
        </w:tc>
      </w:tr>
      <w:tr w:rsidR="00AA3481" w:rsidRPr="00CB3EC8" w14:paraId="51930484"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AF8ECD2"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Company tax</w:t>
            </w:r>
          </w:p>
        </w:tc>
        <w:tc>
          <w:tcPr>
            <w:tcW w:w="745" w:type="pct"/>
            <w:tcBorders>
              <w:top w:val="nil"/>
              <w:left w:val="nil"/>
              <w:bottom w:val="nil"/>
              <w:right w:val="nil"/>
            </w:tcBorders>
            <w:shd w:val="clear" w:color="auto" w:fill="auto"/>
            <w:noWrap/>
            <w:vAlign w:val="center"/>
            <w:hideMark/>
          </w:tcPr>
          <w:p w14:paraId="0AA1D94F"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101,700</w:t>
            </w:r>
          </w:p>
        </w:tc>
        <w:tc>
          <w:tcPr>
            <w:tcW w:w="689" w:type="pct"/>
            <w:tcBorders>
              <w:top w:val="nil"/>
              <w:left w:val="nil"/>
              <w:bottom w:val="nil"/>
              <w:right w:val="nil"/>
            </w:tcBorders>
            <w:shd w:val="clear" w:color="000000" w:fill="E6F2FF"/>
            <w:noWrap/>
            <w:vAlign w:val="center"/>
            <w:hideMark/>
          </w:tcPr>
          <w:p w14:paraId="7E1A54D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131,100</w:t>
            </w:r>
          </w:p>
        </w:tc>
        <w:tc>
          <w:tcPr>
            <w:tcW w:w="47" w:type="pct"/>
            <w:tcBorders>
              <w:top w:val="nil"/>
              <w:left w:val="nil"/>
              <w:bottom w:val="nil"/>
              <w:right w:val="nil"/>
            </w:tcBorders>
            <w:shd w:val="clear" w:color="auto" w:fill="auto"/>
            <w:noWrap/>
            <w:vAlign w:val="center"/>
            <w:hideMark/>
          </w:tcPr>
          <w:p w14:paraId="533564DE"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26B6B4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29,400</w:t>
            </w:r>
          </w:p>
        </w:tc>
        <w:tc>
          <w:tcPr>
            <w:tcW w:w="687" w:type="pct"/>
            <w:tcBorders>
              <w:top w:val="nil"/>
              <w:left w:val="nil"/>
              <w:bottom w:val="nil"/>
              <w:right w:val="nil"/>
            </w:tcBorders>
            <w:shd w:val="clear" w:color="auto" w:fill="auto"/>
            <w:noWrap/>
            <w:vAlign w:val="center"/>
            <w:hideMark/>
          </w:tcPr>
          <w:p w14:paraId="2E000380"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28.9</w:t>
            </w:r>
          </w:p>
        </w:tc>
      </w:tr>
      <w:tr w:rsidR="00AA3481" w:rsidRPr="00CB3EC8" w14:paraId="1441C613"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0210C94"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Superannuation fund taxes</w:t>
            </w:r>
          </w:p>
        </w:tc>
        <w:tc>
          <w:tcPr>
            <w:tcW w:w="745" w:type="pct"/>
            <w:tcBorders>
              <w:top w:val="nil"/>
              <w:left w:val="nil"/>
              <w:bottom w:val="nil"/>
              <w:right w:val="nil"/>
            </w:tcBorders>
            <w:shd w:val="clear" w:color="auto" w:fill="auto"/>
            <w:noWrap/>
            <w:vAlign w:val="center"/>
            <w:hideMark/>
          </w:tcPr>
          <w:p w14:paraId="5EEC4E5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20,520</w:t>
            </w:r>
          </w:p>
        </w:tc>
        <w:tc>
          <w:tcPr>
            <w:tcW w:w="689" w:type="pct"/>
            <w:tcBorders>
              <w:top w:val="nil"/>
              <w:left w:val="nil"/>
              <w:bottom w:val="nil"/>
              <w:right w:val="nil"/>
            </w:tcBorders>
            <w:shd w:val="clear" w:color="000000" w:fill="E6F2FF"/>
            <w:noWrap/>
            <w:vAlign w:val="center"/>
            <w:hideMark/>
          </w:tcPr>
          <w:p w14:paraId="2A85A7B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16,620</w:t>
            </w:r>
          </w:p>
        </w:tc>
        <w:tc>
          <w:tcPr>
            <w:tcW w:w="47" w:type="pct"/>
            <w:tcBorders>
              <w:top w:val="nil"/>
              <w:left w:val="nil"/>
              <w:bottom w:val="nil"/>
              <w:right w:val="nil"/>
            </w:tcBorders>
            <w:shd w:val="clear" w:color="auto" w:fill="auto"/>
            <w:noWrap/>
            <w:vAlign w:val="center"/>
            <w:hideMark/>
          </w:tcPr>
          <w:p w14:paraId="647FB79F"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12B44C0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-3,900</w:t>
            </w:r>
          </w:p>
        </w:tc>
        <w:tc>
          <w:tcPr>
            <w:tcW w:w="687" w:type="pct"/>
            <w:tcBorders>
              <w:top w:val="nil"/>
              <w:left w:val="nil"/>
              <w:bottom w:val="nil"/>
              <w:right w:val="nil"/>
            </w:tcBorders>
            <w:shd w:val="clear" w:color="auto" w:fill="auto"/>
            <w:noWrap/>
            <w:vAlign w:val="center"/>
            <w:hideMark/>
          </w:tcPr>
          <w:p w14:paraId="29D6107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-19.0</w:t>
            </w:r>
          </w:p>
        </w:tc>
      </w:tr>
      <w:tr w:rsidR="00AA3481" w:rsidRPr="00CB3EC8" w14:paraId="76FF1ED5"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3A588684"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Petroleum resource rent tax</w:t>
            </w:r>
          </w:p>
        </w:tc>
        <w:tc>
          <w:tcPr>
            <w:tcW w:w="745" w:type="pct"/>
            <w:tcBorders>
              <w:top w:val="nil"/>
              <w:left w:val="nil"/>
              <w:bottom w:val="nil"/>
              <w:right w:val="nil"/>
            </w:tcBorders>
            <w:shd w:val="clear" w:color="auto" w:fill="auto"/>
            <w:noWrap/>
            <w:vAlign w:val="center"/>
            <w:hideMark/>
          </w:tcPr>
          <w:p w14:paraId="712D57F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2,430</w:t>
            </w:r>
          </w:p>
        </w:tc>
        <w:tc>
          <w:tcPr>
            <w:tcW w:w="689" w:type="pct"/>
            <w:tcBorders>
              <w:top w:val="nil"/>
              <w:left w:val="nil"/>
              <w:bottom w:val="nil"/>
              <w:right w:val="nil"/>
            </w:tcBorders>
            <w:shd w:val="clear" w:color="000000" w:fill="E6F2FF"/>
            <w:noWrap/>
            <w:vAlign w:val="center"/>
            <w:hideMark/>
          </w:tcPr>
          <w:p w14:paraId="7394425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2,770</w:t>
            </w:r>
          </w:p>
        </w:tc>
        <w:tc>
          <w:tcPr>
            <w:tcW w:w="47" w:type="pct"/>
            <w:tcBorders>
              <w:top w:val="nil"/>
              <w:left w:val="nil"/>
              <w:bottom w:val="nil"/>
              <w:right w:val="nil"/>
            </w:tcBorders>
            <w:shd w:val="clear" w:color="auto" w:fill="auto"/>
            <w:noWrap/>
            <w:vAlign w:val="center"/>
            <w:hideMark/>
          </w:tcPr>
          <w:p w14:paraId="19C1286C"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2238689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340</w:t>
            </w:r>
          </w:p>
        </w:tc>
        <w:tc>
          <w:tcPr>
            <w:tcW w:w="687" w:type="pct"/>
            <w:tcBorders>
              <w:top w:val="nil"/>
              <w:left w:val="nil"/>
              <w:bottom w:val="nil"/>
              <w:right w:val="nil"/>
            </w:tcBorders>
            <w:shd w:val="clear" w:color="auto" w:fill="auto"/>
            <w:noWrap/>
            <w:vAlign w:val="center"/>
            <w:hideMark/>
          </w:tcPr>
          <w:p w14:paraId="69121D6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14.0</w:t>
            </w:r>
          </w:p>
        </w:tc>
      </w:tr>
      <w:tr w:rsidR="00AA3481" w:rsidRPr="00CB3EC8" w14:paraId="1B4E223C"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344EBB7A"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Income taxation revenue</w:t>
            </w:r>
          </w:p>
        </w:tc>
        <w:tc>
          <w:tcPr>
            <w:tcW w:w="745" w:type="pct"/>
            <w:tcBorders>
              <w:top w:val="single" w:sz="4" w:space="0" w:color="293F5B"/>
              <w:left w:val="nil"/>
              <w:bottom w:val="single" w:sz="4" w:space="0" w:color="293F5B"/>
              <w:right w:val="nil"/>
            </w:tcBorders>
            <w:shd w:val="clear" w:color="auto" w:fill="auto"/>
            <w:noWrap/>
            <w:vAlign w:val="center"/>
            <w:hideMark/>
          </w:tcPr>
          <w:p w14:paraId="4B7B18F4"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439,610</w:t>
            </w:r>
          </w:p>
        </w:tc>
        <w:tc>
          <w:tcPr>
            <w:tcW w:w="689" w:type="pct"/>
            <w:tcBorders>
              <w:top w:val="single" w:sz="4" w:space="0" w:color="293F5B"/>
              <w:left w:val="nil"/>
              <w:bottom w:val="single" w:sz="4" w:space="0" w:color="293F5B"/>
              <w:right w:val="nil"/>
            </w:tcBorders>
            <w:shd w:val="clear" w:color="000000" w:fill="E6F2FF"/>
            <w:noWrap/>
            <w:vAlign w:val="center"/>
            <w:hideMark/>
          </w:tcPr>
          <w:p w14:paraId="4C79161E"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479,890</w:t>
            </w:r>
          </w:p>
        </w:tc>
        <w:tc>
          <w:tcPr>
            <w:tcW w:w="47" w:type="pct"/>
            <w:tcBorders>
              <w:top w:val="nil"/>
              <w:left w:val="nil"/>
              <w:bottom w:val="nil"/>
              <w:right w:val="nil"/>
            </w:tcBorders>
            <w:shd w:val="clear" w:color="auto" w:fill="auto"/>
            <w:noWrap/>
            <w:vAlign w:val="center"/>
            <w:hideMark/>
          </w:tcPr>
          <w:p w14:paraId="5C524FB1" w14:textId="77777777" w:rsidR="00AA3481" w:rsidRPr="00CB3EC8" w:rsidRDefault="00AA3481" w:rsidP="00AA3481">
            <w:pPr>
              <w:spacing w:before="0" w:after="0" w:line="240" w:lineRule="auto"/>
              <w:jc w:val="right"/>
              <w:rPr>
                <w:rFonts w:ascii="Arial" w:hAnsi="Arial" w:cs="Arial"/>
                <w:b/>
                <w:bCs/>
                <w:sz w:val="16"/>
                <w:szCs w:val="16"/>
              </w:rPr>
            </w:pPr>
          </w:p>
        </w:tc>
        <w:tc>
          <w:tcPr>
            <w:tcW w:w="687" w:type="pct"/>
            <w:tcBorders>
              <w:top w:val="single" w:sz="4" w:space="0" w:color="293F5B"/>
              <w:left w:val="nil"/>
              <w:bottom w:val="single" w:sz="4" w:space="0" w:color="293F5B"/>
              <w:right w:val="nil"/>
            </w:tcBorders>
            <w:shd w:val="clear" w:color="auto" w:fill="auto"/>
            <w:noWrap/>
            <w:vAlign w:val="center"/>
            <w:hideMark/>
          </w:tcPr>
          <w:p w14:paraId="5CC82E7D"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40,280</w:t>
            </w:r>
          </w:p>
        </w:tc>
        <w:tc>
          <w:tcPr>
            <w:tcW w:w="687" w:type="pct"/>
            <w:tcBorders>
              <w:top w:val="single" w:sz="4" w:space="0" w:color="293F5B"/>
              <w:left w:val="nil"/>
              <w:bottom w:val="single" w:sz="4" w:space="0" w:color="293F5B"/>
              <w:right w:val="nil"/>
            </w:tcBorders>
            <w:shd w:val="clear" w:color="auto" w:fill="auto"/>
            <w:noWrap/>
            <w:vAlign w:val="center"/>
            <w:hideMark/>
          </w:tcPr>
          <w:p w14:paraId="06AC4E8D"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9.2</w:t>
            </w:r>
          </w:p>
        </w:tc>
      </w:tr>
      <w:tr w:rsidR="00AA3481" w:rsidRPr="00CB3EC8" w14:paraId="191B96C8"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F841551"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Goods and services tax</w:t>
            </w:r>
          </w:p>
        </w:tc>
        <w:tc>
          <w:tcPr>
            <w:tcW w:w="745" w:type="pct"/>
            <w:tcBorders>
              <w:top w:val="nil"/>
              <w:left w:val="nil"/>
              <w:bottom w:val="nil"/>
              <w:right w:val="nil"/>
            </w:tcBorders>
            <w:shd w:val="clear" w:color="auto" w:fill="auto"/>
            <w:noWrap/>
            <w:vAlign w:val="center"/>
            <w:hideMark/>
          </w:tcPr>
          <w:p w14:paraId="29327CC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88,630</w:t>
            </w:r>
          </w:p>
        </w:tc>
        <w:tc>
          <w:tcPr>
            <w:tcW w:w="689" w:type="pct"/>
            <w:tcBorders>
              <w:top w:val="nil"/>
              <w:left w:val="nil"/>
              <w:bottom w:val="nil"/>
              <w:right w:val="nil"/>
            </w:tcBorders>
            <w:shd w:val="clear" w:color="000000" w:fill="E6F2FF"/>
            <w:noWrap/>
            <w:vAlign w:val="center"/>
            <w:hideMark/>
          </w:tcPr>
          <w:p w14:paraId="10E98230"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89,080</w:t>
            </w:r>
          </w:p>
        </w:tc>
        <w:tc>
          <w:tcPr>
            <w:tcW w:w="47" w:type="pct"/>
            <w:tcBorders>
              <w:top w:val="nil"/>
              <w:left w:val="nil"/>
              <w:bottom w:val="nil"/>
              <w:right w:val="nil"/>
            </w:tcBorders>
            <w:shd w:val="clear" w:color="auto" w:fill="auto"/>
            <w:noWrap/>
            <w:vAlign w:val="center"/>
            <w:hideMark/>
          </w:tcPr>
          <w:p w14:paraId="69341F23"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F9B684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450</w:t>
            </w:r>
          </w:p>
        </w:tc>
        <w:tc>
          <w:tcPr>
            <w:tcW w:w="687" w:type="pct"/>
            <w:tcBorders>
              <w:top w:val="nil"/>
              <w:left w:val="nil"/>
              <w:bottom w:val="nil"/>
              <w:right w:val="nil"/>
            </w:tcBorders>
            <w:shd w:val="clear" w:color="auto" w:fill="auto"/>
            <w:noWrap/>
            <w:vAlign w:val="center"/>
            <w:hideMark/>
          </w:tcPr>
          <w:p w14:paraId="57FCD24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0.5</w:t>
            </w:r>
          </w:p>
        </w:tc>
      </w:tr>
      <w:tr w:rsidR="00AA3481" w:rsidRPr="00CB3EC8" w14:paraId="12E621E9"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27437D8"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Wine equalisation tax</w:t>
            </w:r>
          </w:p>
        </w:tc>
        <w:tc>
          <w:tcPr>
            <w:tcW w:w="745" w:type="pct"/>
            <w:tcBorders>
              <w:top w:val="nil"/>
              <w:left w:val="nil"/>
              <w:bottom w:val="nil"/>
              <w:right w:val="nil"/>
            </w:tcBorders>
            <w:shd w:val="clear" w:color="auto" w:fill="auto"/>
            <w:noWrap/>
            <w:vAlign w:val="center"/>
            <w:hideMark/>
          </w:tcPr>
          <w:p w14:paraId="4F8F345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1,210</w:t>
            </w:r>
          </w:p>
        </w:tc>
        <w:tc>
          <w:tcPr>
            <w:tcW w:w="689" w:type="pct"/>
            <w:tcBorders>
              <w:top w:val="nil"/>
              <w:left w:val="nil"/>
              <w:bottom w:val="nil"/>
              <w:right w:val="nil"/>
            </w:tcBorders>
            <w:shd w:val="clear" w:color="000000" w:fill="E6F2FF"/>
            <w:noWrap/>
            <w:vAlign w:val="center"/>
            <w:hideMark/>
          </w:tcPr>
          <w:p w14:paraId="43D86D90"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1,160</w:t>
            </w:r>
          </w:p>
        </w:tc>
        <w:tc>
          <w:tcPr>
            <w:tcW w:w="47" w:type="pct"/>
            <w:tcBorders>
              <w:top w:val="nil"/>
              <w:left w:val="nil"/>
              <w:bottom w:val="nil"/>
              <w:right w:val="nil"/>
            </w:tcBorders>
            <w:shd w:val="clear" w:color="auto" w:fill="auto"/>
            <w:noWrap/>
            <w:vAlign w:val="center"/>
            <w:hideMark/>
          </w:tcPr>
          <w:p w14:paraId="60EFF35E"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705856F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-50</w:t>
            </w:r>
          </w:p>
        </w:tc>
        <w:tc>
          <w:tcPr>
            <w:tcW w:w="687" w:type="pct"/>
            <w:tcBorders>
              <w:top w:val="nil"/>
              <w:left w:val="nil"/>
              <w:bottom w:val="nil"/>
              <w:right w:val="nil"/>
            </w:tcBorders>
            <w:shd w:val="clear" w:color="auto" w:fill="auto"/>
            <w:noWrap/>
            <w:vAlign w:val="center"/>
            <w:hideMark/>
          </w:tcPr>
          <w:p w14:paraId="080DC25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-4.1</w:t>
            </w:r>
          </w:p>
        </w:tc>
      </w:tr>
      <w:tr w:rsidR="00AA3481" w:rsidRPr="00CB3EC8" w14:paraId="74242222"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1AF9CFF"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Luxury car tax</w:t>
            </w:r>
          </w:p>
        </w:tc>
        <w:tc>
          <w:tcPr>
            <w:tcW w:w="745" w:type="pct"/>
            <w:tcBorders>
              <w:top w:val="nil"/>
              <w:left w:val="nil"/>
              <w:bottom w:val="nil"/>
              <w:right w:val="nil"/>
            </w:tcBorders>
            <w:shd w:val="clear" w:color="auto" w:fill="auto"/>
            <w:noWrap/>
            <w:vAlign w:val="center"/>
            <w:hideMark/>
          </w:tcPr>
          <w:p w14:paraId="6926A2B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860</w:t>
            </w:r>
          </w:p>
        </w:tc>
        <w:tc>
          <w:tcPr>
            <w:tcW w:w="689" w:type="pct"/>
            <w:tcBorders>
              <w:top w:val="nil"/>
              <w:left w:val="nil"/>
              <w:bottom w:val="nil"/>
              <w:right w:val="nil"/>
            </w:tcBorders>
            <w:shd w:val="clear" w:color="000000" w:fill="E6F2FF"/>
            <w:noWrap/>
            <w:vAlign w:val="center"/>
            <w:hideMark/>
          </w:tcPr>
          <w:p w14:paraId="0A3C927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860</w:t>
            </w:r>
          </w:p>
        </w:tc>
        <w:tc>
          <w:tcPr>
            <w:tcW w:w="47" w:type="pct"/>
            <w:tcBorders>
              <w:top w:val="nil"/>
              <w:left w:val="nil"/>
              <w:bottom w:val="nil"/>
              <w:right w:val="nil"/>
            </w:tcBorders>
            <w:shd w:val="clear" w:color="auto" w:fill="auto"/>
            <w:noWrap/>
            <w:vAlign w:val="center"/>
            <w:hideMark/>
          </w:tcPr>
          <w:p w14:paraId="50CC5046"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930743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w:t>
            </w:r>
          </w:p>
        </w:tc>
        <w:tc>
          <w:tcPr>
            <w:tcW w:w="687" w:type="pct"/>
            <w:tcBorders>
              <w:top w:val="nil"/>
              <w:left w:val="nil"/>
              <w:bottom w:val="nil"/>
              <w:right w:val="nil"/>
            </w:tcBorders>
            <w:shd w:val="clear" w:color="auto" w:fill="auto"/>
            <w:noWrap/>
            <w:vAlign w:val="center"/>
            <w:hideMark/>
          </w:tcPr>
          <w:p w14:paraId="62E7DD5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0.0</w:t>
            </w:r>
          </w:p>
        </w:tc>
      </w:tr>
      <w:tr w:rsidR="00AA3481" w:rsidRPr="00CB3EC8" w14:paraId="6CB82A84"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93E5B07"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 xml:space="preserve">Excise and customs duty  </w:t>
            </w:r>
          </w:p>
        </w:tc>
        <w:tc>
          <w:tcPr>
            <w:tcW w:w="745" w:type="pct"/>
            <w:tcBorders>
              <w:top w:val="nil"/>
              <w:left w:val="nil"/>
              <w:bottom w:val="nil"/>
              <w:right w:val="nil"/>
            </w:tcBorders>
            <w:shd w:val="clear" w:color="auto" w:fill="auto"/>
            <w:noWrap/>
            <w:vAlign w:val="center"/>
            <w:hideMark/>
          </w:tcPr>
          <w:p w14:paraId="5836EBF1" w14:textId="77777777" w:rsidR="00AA3481" w:rsidRPr="00CB3EC8" w:rsidRDefault="00AA3481" w:rsidP="00AA3481">
            <w:pPr>
              <w:spacing w:before="0" w:after="0" w:line="240" w:lineRule="auto"/>
              <w:rPr>
                <w:rFonts w:ascii="Arial" w:hAnsi="Arial" w:cs="Arial"/>
                <w:sz w:val="16"/>
                <w:szCs w:val="16"/>
              </w:rPr>
            </w:pPr>
          </w:p>
        </w:tc>
        <w:tc>
          <w:tcPr>
            <w:tcW w:w="689" w:type="pct"/>
            <w:tcBorders>
              <w:top w:val="nil"/>
              <w:left w:val="nil"/>
              <w:bottom w:val="nil"/>
              <w:right w:val="nil"/>
            </w:tcBorders>
            <w:shd w:val="clear" w:color="000000" w:fill="E6F2FF"/>
            <w:noWrap/>
            <w:vAlign w:val="center"/>
            <w:hideMark/>
          </w:tcPr>
          <w:p w14:paraId="4E06529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 </w:t>
            </w:r>
          </w:p>
        </w:tc>
        <w:tc>
          <w:tcPr>
            <w:tcW w:w="47" w:type="pct"/>
            <w:tcBorders>
              <w:top w:val="nil"/>
              <w:left w:val="nil"/>
              <w:bottom w:val="nil"/>
              <w:right w:val="nil"/>
            </w:tcBorders>
            <w:shd w:val="clear" w:color="auto" w:fill="auto"/>
            <w:noWrap/>
            <w:vAlign w:val="center"/>
            <w:hideMark/>
          </w:tcPr>
          <w:p w14:paraId="639A7298"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372B1CF7" w14:textId="77777777" w:rsidR="00AA3481" w:rsidRPr="00CB3EC8" w:rsidRDefault="00AA3481" w:rsidP="00AA3481">
            <w:pPr>
              <w:spacing w:before="0" w:after="0" w:line="240" w:lineRule="auto"/>
              <w:jc w:val="right"/>
              <w:rPr>
                <w:rFonts w:ascii="Times New Roman" w:hAnsi="Times New Roman"/>
                <w:sz w:val="20"/>
              </w:rPr>
            </w:pPr>
          </w:p>
        </w:tc>
        <w:tc>
          <w:tcPr>
            <w:tcW w:w="687" w:type="pct"/>
            <w:tcBorders>
              <w:top w:val="nil"/>
              <w:left w:val="nil"/>
              <w:bottom w:val="nil"/>
              <w:right w:val="nil"/>
            </w:tcBorders>
            <w:shd w:val="clear" w:color="auto" w:fill="auto"/>
            <w:noWrap/>
            <w:vAlign w:val="center"/>
            <w:hideMark/>
          </w:tcPr>
          <w:p w14:paraId="0C031137" w14:textId="77777777" w:rsidR="00AA3481" w:rsidRPr="00CB3EC8" w:rsidRDefault="00AA3481" w:rsidP="00AA3481">
            <w:pPr>
              <w:spacing w:before="0" w:after="0" w:line="240" w:lineRule="auto"/>
              <w:jc w:val="right"/>
              <w:rPr>
                <w:rFonts w:ascii="Times New Roman" w:hAnsi="Times New Roman"/>
                <w:sz w:val="20"/>
              </w:rPr>
            </w:pPr>
          </w:p>
        </w:tc>
      </w:tr>
      <w:tr w:rsidR="00AA3481" w:rsidRPr="00CB3EC8" w14:paraId="03665CFF"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70440B5A"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Petrol</w:t>
            </w:r>
          </w:p>
        </w:tc>
        <w:tc>
          <w:tcPr>
            <w:tcW w:w="745" w:type="pct"/>
            <w:tcBorders>
              <w:top w:val="nil"/>
              <w:left w:val="nil"/>
              <w:bottom w:val="nil"/>
              <w:right w:val="nil"/>
            </w:tcBorders>
            <w:shd w:val="clear" w:color="auto" w:fill="auto"/>
            <w:noWrap/>
            <w:vAlign w:val="center"/>
            <w:hideMark/>
          </w:tcPr>
          <w:p w14:paraId="7D74703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6,850</w:t>
            </w:r>
          </w:p>
        </w:tc>
        <w:tc>
          <w:tcPr>
            <w:tcW w:w="689" w:type="pct"/>
            <w:tcBorders>
              <w:top w:val="nil"/>
              <w:left w:val="nil"/>
              <w:bottom w:val="nil"/>
              <w:right w:val="nil"/>
            </w:tcBorders>
            <w:shd w:val="clear" w:color="000000" w:fill="E6F2FF"/>
            <w:noWrap/>
            <w:vAlign w:val="center"/>
            <w:hideMark/>
          </w:tcPr>
          <w:p w14:paraId="77018C7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7,350</w:t>
            </w:r>
          </w:p>
        </w:tc>
        <w:tc>
          <w:tcPr>
            <w:tcW w:w="47" w:type="pct"/>
            <w:tcBorders>
              <w:top w:val="nil"/>
              <w:left w:val="nil"/>
              <w:bottom w:val="nil"/>
              <w:right w:val="nil"/>
            </w:tcBorders>
            <w:shd w:val="clear" w:color="auto" w:fill="auto"/>
            <w:noWrap/>
            <w:vAlign w:val="center"/>
            <w:hideMark/>
          </w:tcPr>
          <w:p w14:paraId="1176FB77"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1C99C14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500</w:t>
            </w:r>
          </w:p>
        </w:tc>
        <w:tc>
          <w:tcPr>
            <w:tcW w:w="687" w:type="pct"/>
            <w:tcBorders>
              <w:top w:val="nil"/>
              <w:left w:val="nil"/>
              <w:bottom w:val="nil"/>
              <w:right w:val="nil"/>
            </w:tcBorders>
            <w:shd w:val="clear" w:color="auto" w:fill="auto"/>
            <w:noWrap/>
            <w:vAlign w:val="center"/>
            <w:hideMark/>
          </w:tcPr>
          <w:p w14:paraId="51995BDF"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7.3</w:t>
            </w:r>
          </w:p>
        </w:tc>
      </w:tr>
      <w:tr w:rsidR="00AA3481" w:rsidRPr="00CB3EC8" w14:paraId="58465D50"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90A5418"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Diesel</w:t>
            </w:r>
          </w:p>
        </w:tc>
        <w:tc>
          <w:tcPr>
            <w:tcW w:w="745" w:type="pct"/>
            <w:tcBorders>
              <w:top w:val="nil"/>
              <w:left w:val="nil"/>
              <w:bottom w:val="nil"/>
              <w:right w:val="nil"/>
            </w:tcBorders>
            <w:shd w:val="clear" w:color="auto" w:fill="auto"/>
            <w:noWrap/>
            <w:vAlign w:val="center"/>
            <w:hideMark/>
          </w:tcPr>
          <w:p w14:paraId="6C48CBB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15,670</w:t>
            </w:r>
          </w:p>
        </w:tc>
        <w:tc>
          <w:tcPr>
            <w:tcW w:w="689" w:type="pct"/>
            <w:tcBorders>
              <w:top w:val="nil"/>
              <w:left w:val="nil"/>
              <w:bottom w:val="nil"/>
              <w:right w:val="nil"/>
            </w:tcBorders>
            <w:shd w:val="clear" w:color="000000" w:fill="E6F2FF"/>
            <w:noWrap/>
            <w:vAlign w:val="center"/>
            <w:hideMark/>
          </w:tcPr>
          <w:p w14:paraId="3FBB679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15,880</w:t>
            </w:r>
          </w:p>
        </w:tc>
        <w:tc>
          <w:tcPr>
            <w:tcW w:w="47" w:type="pct"/>
            <w:tcBorders>
              <w:top w:val="nil"/>
              <w:left w:val="nil"/>
              <w:bottom w:val="nil"/>
              <w:right w:val="nil"/>
            </w:tcBorders>
            <w:shd w:val="clear" w:color="auto" w:fill="auto"/>
            <w:noWrap/>
            <w:vAlign w:val="center"/>
            <w:hideMark/>
          </w:tcPr>
          <w:p w14:paraId="13821CD8"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199502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210</w:t>
            </w:r>
          </w:p>
        </w:tc>
        <w:tc>
          <w:tcPr>
            <w:tcW w:w="687" w:type="pct"/>
            <w:tcBorders>
              <w:top w:val="nil"/>
              <w:left w:val="nil"/>
              <w:bottom w:val="nil"/>
              <w:right w:val="nil"/>
            </w:tcBorders>
            <w:shd w:val="clear" w:color="auto" w:fill="auto"/>
            <w:noWrap/>
            <w:vAlign w:val="center"/>
            <w:hideMark/>
          </w:tcPr>
          <w:p w14:paraId="71A4BF2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w:t>
            </w:r>
          </w:p>
        </w:tc>
      </w:tr>
      <w:tr w:rsidR="00AA3481" w:rsidRPr="00CB3EC8" w14:paraId="644AC6EE"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E76AE24"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Other fuel products</w:t>
            </w:r>
          </w:p>
        </w:tc>
        <w:tc>
          <w:tcPr>
            <w:tcW w:w="745" w:type="pct"/>
            <w:tcBorders>
              <w:top w:val="nil"/>
              <w:left w:val="nil"/>
              <w:bottom w:val="nil"/>
              <w:right w:val="nil"/>
            </w:tcBorders>
            <w:shd w:val="clear" w:color="auto" w:fill="auto"/>
            <w:noWrap/>
            <w:vAlign w:val="center"/>
            <w:hideMark/>
          </w:tcPr>
          <w:p w14:paraId="4A035A0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2,140</w:t>
            </w:r>
          </w:p>
        </w:tc>
        <w:tc>
          <w:tcPr>
            <w:tcW w:w="689" w:type="pct"/>
            <w:tcBorders>
              <w:top w:val="nil"/>
              <w:left w:val="nil"/>
              <w:bottom w:val="nil"/>
              <w:right w:val="nil"/>
            </w:tcBorders>
            <w:shd w:val="clear" w:color="000000" w:fill="E6F2FF"/>
            <w:noWrap/>
            <w:vAlign w:val="center"/>
            <w:hideMark/>
          </w:tcPr>
          <w:p w14:paraId="7DA13B7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2,100</w:t>
            </w:r>
          </w:p>
        </w:tc>
        <w:tc>
          <w:tcPr>
            <w:tcW w:w="47" w:type="pct"/>
            <w:tcBorders>
              <w:top w:val="nil"/>
              <w:left w:val="nil"/>
              <w:bottom w:val="nil"/>
              <w:right w:val="nil"/>
            </w:tcBorders>
            <w:shd w:val="clear" w:color="auto" w:fill="auto"/>
            <w:noWrap/>
            <w:vAlign w:val="center"/>
            <w:hideMark/>
          </w:tcPr>
          <w:p w14:paraId="2D7359A4"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3D42A38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-40</w:t>
            </w:r>
          </w:p>
        </w:tc>
        <w:tc>
          <w:tcPr>
            <w:tcW w:w="687" w:type="pct"/>
            <w:tcBorders>
              <w:top w:val="nil"/>
              <w:left w:val="nil"/>
              <w:bottom w:val="nil"/>
              <w:right w:val="nil"/>
            </w:tcBorders>
            <w:shd w:val="clear" w:color="auto" w:fill="auto"/>
            <w:noWrap/>
            <w:vAlign w:val="center"/>
            <w:hideMark/>
          </w:tcPr>
          <w:p w14:paraId="408909D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-1.9</w:t>
            </w:r>
          </w:p>
        </w:tc>
      </w:tr>
      <w:tr w:rsidR="00AA3481" w:rsidRPr="00CB3EC8" w14:paraId="0342B70F"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3BE8C27"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Tobacco</w:t>
            </w:r>
          </w:p>
        </w:tc>
        <w:tc>
          <w:tcPr>
            <w:tcW w:w="745" w:type="pct"/>
            <w:tcBorders>
              <w:top w:val="nil"/>
              <w:left w:val="nil"/>
              <w:bottom w:val="nil"/>
              <w:right w:val="nil"/>
            </w:tcBorders>
            <w:shd w:val="clear" w:color="auto" w:fill="auto"/>
            <w:noWrap/>
            <w:vAlign w:val="center"/>
            <w:hideMark/>
          </w:tcPr>
          <w:p w14:paraId="6013790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12,600</w:t>
            </w:r>
          </w:p>
        </w:tc>
        <w:tc>
          <w:tcPr>
            <w:tcW w:w="689" w:type="pct"/>
            <w:tcBorders>
              <w:top w:val="nil"/>
              <w:left w:val="nil"/>
              <w:bottom w:val="nil"/>
              <w:right w:val="nil"/>
            </w:tcBorders>
            <w:shd w:val="clear" w:color="000000" w:fill="E6F2FF"/>
            <w:noWrap/>
            <w:vAlign w:val="center"/>
            <w:hideMark/>
          </w:tcPr>
          <w:p w14:paraId="6616D89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12,900</w:t>
            </w:r>
          </w:p>
        </w:tc>
        <w:tc>
          <w:tcPr>
            <w:tcW w:w="47" w:type="pct"/>
            <w:tcBorders>
              <w:top w:val="nil"/>
              <w:left w:val="nil"/>
              <w:bottom w:val="nil"/>
              <w:right w:val="nil"/>
            </w:tcBorders>
            <w:shd w:val="clear" w:color="auto" w:fill="auto"/>
            <w:noWrap/>
            <w:vAlign w:val="center"/>
            <w:hideMark/>
          </w:tcPr>
          <w:p w14:paraId="1580B510"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5AED8DE"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300</w:t>
            </w:r>
          </w:p>
        </w:tc>
        <w:tc>
          <w:tcPr>
            <w:tcW w:w="687" w:type="pct"/>
            <w:tcBorders>
              <w:top w:val="nil"/>
              <w:left w:val="nil"/>
              <w:bottom w:val="nil"/>
              <w:right w:val="nil"/>
            </w:tcBorders>
            <w:shd w:val="clear" w:color="auto" w:fill="auto"/>
            <w:noWrap/>
            <w:vAlign w:val="center"/>
            <w:hideMark/>
          </w:tcPr>
          <w:p w14:paraId="1FC27D0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2.4</w:t>
            </w:r>
          </w:p>
        </w:tc>
      </w:tr>
      <w:tr w:rsidR="00AA3481" w:rsidRPr="00CB3EC8" w14:paraId="28F3948A"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31755B32"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Beer</w:t>
            </w:r>
          </w:p>
        </w:tc>
        <w:tc>
          <w:tcPr>
            <w:tcW w:w="745" w:type="pct"/>
            <w:tcBorders>
              <w:top w:val="nil"/>
              <w:left w:val="nil"/>
              <w:bottom w:val="nil"/>
              <w:right w:val="nil"/>
            </w:tcBorders>
            <w:shd w:val="clear" w:color="auto" w:fill="auto"/>
            <w:noWrap/>
            <w:vAlign w:val="center"/>
            <w:hideMark/>
          </w:tcPr>
          <w:p w14:paraId="7E384F1A"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2,700</w:t>
            </w:r>
          </w:p>
        </w:tc>
        <w:tc>
          <w:tcPr>
            <w:tcW w:w="689" w:type="pct"/>
            <w:tcBorders>
              <w:top w:val="nil"/>
              <w:left w:val="nil"/>
              <w:bottom w:val="nil"/>
              <w:right w:val="nil"/>
            </w:tcBorders>
            <w:shd w:val="clear" w:color="000000" w:fill="E6F2FF"/>
            <w:noWrap/>
            <w:vAlign w:val="center"/>
            <w:hideMark/>
          </w:tcPr>
          <w:p w14:paraId="513F834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2,670</w:t>
            </w:r>
          </w:p>
        </w:tc>
        <w:tc>
          <w:tcPr>
            <w:tcW w:w="47" w:type="pct"/>
            <w:tcBorders>
              <w:top w:val="nil"/>
              <w:left w:val="nil"/>
              <w:bottom w:val="nil"/>
              <w:right w:val="nil"/>
            </w:tcBorders>
            <w:shd w:val="clear" w:color="auto" w:fill="auto"/>
            <w:noWrap/>
            <w:vAlign w:val="center"/>
            <w:hideMark/>
          </w:tcPr>
          <w:p w14:paraId="0C9CAEFD"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71F1D21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-30</w:t>
            </w:r>
          </w:p>
        </w:tc>
        <w:tc>
          <w:tcPr>
            <w:tcW w:w="687" w:type="pct"/>
            <w:tcBorders>
              <w:top w:val="nil"/>
              <w:left w:val="nil"/>
              <w:bottom w:val="nil"/>
              <w:right w:val="nil"/>
            </w:tcBorders>
            <w:shd w:val="clear" w:color="auto" w:fill="auto"/>
            <w:noWrap/>
            <w:vAlign w:val="center"/>
            <w:hideMark/>
          </w:tcPr>
          <w:p w14:paraId="651670D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-1.1</w:t>
            </w:r>
          </w:p>
        </w:tc>
      </w:tr>
      <w:tr w:rsidR="00AA3481" w:rsidRPr="00CB3EC8" w14:paraId="68F3D6BF"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39640F6"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Spirits</w:t>
            </w:r>
          </w:p>
        </w:tc>
        <w:tc>
          <w:tcPr>
            <w:tcW w:w="745" w:type="pct"/>
            <w:tcBorders>
              <w:top w:val="nil"/>
              <w:left w:val="nil"/>
              <w:bottom w:val="nil"/>
              <w:right w:val="nil"/>
            </w:tcBorders>
            <w:shd w:val="clear" w:color="auto" w:fill="auto"/>
            <w:noWrap/>
            <w:vAlign w:val="center"/>
            <w:hideMark/>
          </w:tcPr>
          <w:p w14:paraId="5646D42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3,510</w:t>
            </w:r>
          </w:p>
        </w:tc>
        <w:tc>
          <w:tcPr>
            <w:tcW w:w="689" w:type="pct"/>
            <w:tcBorders>
              <w:top w:val="nil"/>
              <w:left w:val="nil"/>
              <w:bottom w:val="nil"/>
              <w:right w:val="nil"/>
            </w:tcBorders>
            <w:shd w:val="clear" w:color="000000" w:fill="E6F2FF"/>
            <w:noWrap/>
            <w:vAlign w:val="center"/>
            <w:hideMark/>
          </w:tcPr>
          <w:p w14:paraId="76453A7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3,570</w:t>
            </w:r>
          </w:p>
        </w:tc>
        <w:tc>
          <w:tcPr>
            <w:tcW w:w="47" w:type="pct"/>
            <w:tcBorders>
              <w:top w:val="nil"/>
              <w:left w:val="nil"/>
              <w:bottom w:val="nil"/>
              <w:right w:val="nil"/>
            </w:tcBorders>
            <w:shd w:val="clear" w:color="auto" w:fill="auto"/>
            <w:noWrap/>
            <w:vAlign w:val="center"/>
            <w:hideMark/>
          </w:tcPr>
          <w:p w14:paraId="58E031A8"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2BDDD8D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60</w:t>
            </w:r>
          </w:p>
        </w:tc>
        <w:tc>
          <w:tcPr>
            <w:tcW w:w="687" w:type="pct"/>
            <w:tcBorders>
              <w:top w:val="nil"/>
              <w:left w:val="nil"/>
              <w:bottom w:val="nil"/>
              <w:right w:val="nil"/>
            </w:tcBorders>
            <w:shd w:val="clear" w:color="auto" w:fill="auto"/>
            <w:noWrap/>
            <w:vAlign w:val="center"/>
            <w:hideMark/>
          </w:tcPr>
          <w:p w14:paraId="78D39B2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1.7</w:t>
            </w:r>
          </w:p>
        </w:tc>
      </w:tr>
      <w:tr w:rsidR="00AA3481" w:rsidRPr="00CB3EC8" w14:paraId="3F1156D5"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6D824469"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Other alcoholic beverages(a)</w:t>
            </w:r>
          </w:p>
        </w:tc>
        <w:tc>
          <w:tcPr>
            <w:tcW w:w="745" w:type="pct"/>
            <w:tcBorders>
              <w:top w:val="nil"/>
              <w:left w:val="nil"/>
              <w:bottom w:val="nil"/>
              <w:right w:val="nil"/>
            </w:tcBorders>
            <w:shd w:val="clear" w:color="auto" w:fill="auto"/>
            <w:noWrap/>
            <w:vAlign w:val="center"/>
            <w:hideMark/>
          </w:tcPr>
          <w:p w14:paraId="398766F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1,620</w:t>
            </w:r>
          </w:p>
        </w:tc>
        <w:tc>
          <w:tcPr>
            <w:tcW w:w="689" w:type="pct"/>
            <w:tcBorders>
              <w:top w:val="nil"/>
              <w:left w:val="nil"/>
              <w:bottom w:val="nil"/>
              <w:right w:val="nil"/>
            </w:tcBorders>
            <w:shd w:val="clear" w:color="000000" w:fill="E6F2FF"/>
            <w:noWrap/>
            <w:vAlign w:val="center"/>
            <w:hideMark/>
          </w:tcPr>
          <w:p w14:paraId="1A86885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1,680</w:t>
            </w:r>
          </w:p>
        </w:tc>
        <w:tc>
          <w:tcPr>
            <w:tcW w:w="47" w:type="pct"/>
            <w:tcBorders>
              <w:top w:val="nil"/>
              <w:left w:val="nil"/>
              <w:bottom w:val="nil"/>
              <w:right w:val="nil"/>
            </w:tcBorders>
            <w:shd w:val="clear" w:color="auto" w:fill="auto"/>
            <w:noWrap/>
            <w:vAlign w:val="center"/>
            <w:hideMark/>
          </w:tcPr>
          <w:p w14:paraId="3628832A"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B3C9FC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60</w:t>
            </w:r>
          </w:p>
        </w:tc>
        <w:tc>
          <w:tcPr>
            <w:tcW w:w="687" w:type="pct"/>
            <w:tcBorders>
              <w:top w:val="nil"/>
              <w:left w:val="nil"/>
              <w:bottom w:val="nil"/>
              <w:right w:val="nil"/>
            </w:tcBorders>
            <w:shd w:val="clear" w:color="auto" w:fill="auto"/>
            <w:noWrap/>
            <w:vAlign w:val="center"/>
            <w:hideMark/>
          </w:tcPr>
          <w:p w14:paraId="6FCA4DA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3.7</w:t>
            </w:r>
          </w:p>
        </w:tc>
      </w:tr>
      <w:tr w:rsidR="00AA3481" w:rsidRPr="00CB3EC8" w14:paraId="3BD0D956"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73D0385"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Other customs duty</w:t>
            </w:r>
          </w:p>
        </w:tc>
        <w:tc>
          <w:tcPr>
            <w:tcW w:w="745" w:type="pct"/>
            <w:tcBorders>
              <w:top w:val="nil"/>
              <w:left w:val="nil"/>
              <w:bottom w:val="nil"/>
              <w:right w:val="nil"/>
            </w:tcBorders>
            <w:shd w:val="clear" w:color="auto" w:fill="auto"/>
            <w:noWrap/>
            <w:vAlign w:val="center"/>
            <w:hideMark/>
          </w:tcPr>
          <w:p w14:paraId="1ABCCC80" w14:textId="77777777" w:rsidR="00AA3481" w:rsidRPr="00CB3EC8" w:rsidRDefault="00AA3481" w:rsidP="00AA3481">
            <w:pPr>
              <w:spacing w:before="0" w:after="0" w:line="240" w:lineRule="auto"/>
              <w:ind w:firstLineChars="100" w:firstLine="160"/>
              <w:rPr>
                <w:rFonts w:ascii="Arial" w:hAnsi="Arial" w:cs="Arial"/>
                <w:sz w:val="16"/>
                <w:szCs w:val="16"/>
              </w:rPr>
            </w:pPr>
          </w:p>
        </w:tc>
        <w:tc>
          <w:tcPr>
            <w:tcW w:w="689" w:type="pct"/>
            <w:tcBorders>
              <w:top w:val="nil"/>
              <w:left w:val="nil"/>
              <w:bottom w:val="nil"/>
              <w:right w:val="nil"/>
            </w:tcBorders>
            <w:shd w:val="clear" w:color="000000" w:fill="E6F2FF"/>
            <w:noWrap/>
            <w:vAlign w:val="center"/>
            <w:hideMark/>
          </w:tcPr>
          <w:p w14:paraId="57FE1367"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 </w:t>
            </w:r>
          </w:p>
        </w:tc>
        <w:tc>
          <w:tcPr>
            <w:tcW w:w="47" w:type="pct"/>
            <w:tcBorders>
              <w:top w:val="nil"/>
              <w:left w:val="nil"/>
              <w:bottom w:val="nil"/>
              <w:right w:val="nil"/>
            </w:tcBorders>
            <w:shd w:val="clear" w:color="auto" w:fill="auto"/>
            <w:noWrap/>
            <w:vAlign w:val="center"/>
            <w:hideMark/>
          </w:tcPr>
          <w:p w14:paraId="493B4C81" w14:textId="77777777" w:rsidR="00AA3481" w:rsidRPr="00CB3EC8" w:rsidRDefault="00AA3481" w:rsidP="00AA3481">
            <w:pPr>
              <w:spacing w:before="0" w:after="0" w:line="240" w:lineRule="auto"/>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2F2D4E6" w14:textId="77777777" w:rsidR="00AA3481" w:rsidRPr="00CB3EC8" w:rsidRDefault="00AA3481" w:rsidP="00AA3481">
            <w:pPr>
              <w:spacing w:before="0" w:after="0" w:line="240" w:lineRule="auto"/>
              <w:jc w:val="right"/>
              <w:rPr>
                <w:rFonts w:ascii="Times New Roman" w:hAnsi="Times New Roman"/>
                <w:sz w:val="20"/>
              </w:rPr>
            </w:pPr>
          </w:p>
        </w:tc>
        <w:tc>
          <w:tcPr>
            <w:tcW w:w="687" w:type="pct"/>
            <w:tcBorders>
              <w:top w:val="nil"/>
              <w:left w:val="nil"/>
              <w:bottom w:val="nil"/>
              <w:right w:val="nil"/>
            </w:tcBorders>
            <w:shd w:val="clear" w:color="auto" w:fill="auto"/>
            <w:noWrap/>
            <w:vAlign w:val="center"/>
            <w:hideMark/>
          </w:tcPr>
          <w:p w14:paraId="38DE1B7A" w14:textId="77777777" w:rsidR="00AA3481" w:rsidRPr="00CB3EC8" w:rsidRDefault="00AA3481" w:rsidP="00AA3481">
            <w:pPr>
              <w:spacing w:before="0" w:after="0" w:line="240" w:lineRule="auto"/>
              <w:jc w:val="right"/>
              <w:rPr>
                <w:rFonts w:ascii="Times New Roman" w:hAnsi="Times New Roman"/>
                <w:sz w:val="20"/>
              </w:rPr>
            </w:pPr>
          </w:p>
        </w:tc>
      </w:tr>
      <w:tr w:rsidR="00AA3481" w:rsidRPr="00CB3EC8" w14:paraId="3E693EA4" w14:textId="77777777" w:rsidTr="00AA3481">
        <w:trPr>
          <w:divId w:val="1651399002"/>
          <w:trHeight w:hRule="exact" w:val="226"/>
        </w:trPr>
        <w:tc>
          <w:tcPr>
            <w:tcW w:w="2144" w:type="pct"/>
            <w:tcBorders>
              <w:top w:val="nil"/>
              <w:left w:val="nil"/>
              <w:bottom w:val="nil"/>
              <w:right w:val="nil"/>
            </w:tcBorders>
            <w:shd w:val="clear" w:color="auto" w:fill="auto"/>
            <w:noWrap/>
            <w:vAlign w:val="bottom"/>
            <w:hideMark/>
          </w:tcPr>
          <w:p w14:paraId="562E83B2"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 xml:space="preserve">    Textiles, clothing and footwear</w:t>
            </w:r>
          </w:p>
        </w:tc>
        <w:tc>
          <w:tcPr>
            <w:tcW w:w="745" w:type="pct"/>
            <w:tcBorders>
              <w:top w:val="nil"/>
              <w:left w:val="nil"/>
              <w:bottom w:val="nil"/>
              <w:right w:val="nil"/>
            </w:tcBorders>
            <w:shd w:val="clear" w:color="auto" w:fill="auto"/>
            <w:noWrap/>
            <w:vAlign w:val="center"/>
            <w:hideMark/>
          </w:tcPr>
          <w:p w14:paraId="517F1A2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150</w:t>
            </w:r>
          </w:p>
        </w:tc>
        <w:tc>
          <w:tcPr>
            <w:tcW w:w="689" w:type="pct"/>
            <w:tcBorders>
              <w:top w:val="nil"/>
              <w:left w:val="nil"/>
              <w:bottom w:val="nil"/>
              <w:right w:val="nil"/>
            </w:tcBorders>
            <w:shd w:val="clear" w:color="000000" w:fill="E6F2FF"/>
            <w:noWrap/>
            <w:vAlign w:val="center"/>
            <w:hideMark/>
          </w:tcPr>
          <w:p w14:paraId="141A555C"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170</w:t>
            </w:r>
          </w:p>
        </w:tc>
        <w:tc>
          <w:tcPr>
            <w:tcW w:w="47" w:type="pct"/>
            <w:tcBorders>
              <w:top w:val="nil"/>
              <w:left w:val="nil"/>
              <w:bottom w:val="nil"/>
              <w:right w:val="nil"/>
            </w:tcBorders>
            <w:shd w:val="clear" w:color="auto" w:fill="auto"/>
            <w:noWrap/>
            <w:vAlign w:val="center"/>
            <w:hideMark/>
          </w:tcPr>
          <w:p w14:paraId="51495714"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59E7E00"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20</w:t>
            </w:r>
          </w:p>
        </w:tc>
        <w:tc>
          <w:tcPr>
            <w:tcW w:w="687" w:type="pct"/>
            <w:tcBorders>
              <w:top w:val="nil"/>
              <w:left w:val="nil"/>
              <w:bottom w:val="nil"/>
              <w:right w:val="nil"/>
            </w:tcBorders>
            <w:shd w:val="clear" w:color="auto" w:fill="auto"/>
            <w:noWrap/>
            <w:vAlign w:val="center"/>
            <w:hideMark/>
          </w:tcPr>
          <w:p w14:paraId="2C54706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13.3</w:t>
            </w:r>
          </w:p>
        </w:tc>
      </w:tr>
      <w:tr w:rsidR="00AA3481" w:rsidRPr="00CB3EC8" w14:paraId="19C41D06" w14:textId="77777777" w:rsidTr="00AA3481">
        <w:trPr>
          <w:divId w:val="1651399002"/>
          <w:trHeight w:hRule="exact" w:val="226"/>
        </w:trPr>
        <w:tc>
          <w:tcPr>
            <w:tcW w:w="2144" w:type="pct"/>
            <w:tcBorders>
              <w:top w:val="nil"/>
              <w:left w:val="nil"/>
              <w:bottom w:val="nil"/>
              <w:right w:val="nil"/>
            </w:tcBorders>
            <w:shd w:val="clear" w:color="auto" w:fill="auto"/>
            <w:noWrap/>
            <w:vAlign w:val="bottom"/>
            <w:hideMark/>
          </w:tcPr>
          <w:p w14:paraId="6694F2E4"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 xml:space="preserve">    Passenger motor vehicles</w:t>
            </w:r>
          </w:p>
        </w:tc>
        <w:tc>
          <w:tcPr>
            <w:tcW w:w="745" w:type="pct"/>
            <w:tcBorders>
              <w:top w:val="nil"/>
              <w:left w:val="nil"/>
              <w:bottom w:val="nil"/>
              <w:right w:val="nil"/>
            </w:tcBorders>
            <w:shd w:val="clear" w:color="auto" w:fill="auto"/>
            <w:noWrap/>
            <w:vAlign w:val="center"/>
            <w:hideMark/>
          </w:tcPr>
          <w:p w14:paraId="7B37027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380</w:t>
            </w:r>
          </w:p>
        </w:tc>
        <w:tc>
          <w:tcPr>
            <w:tcW w:w="689" w:type="pct"/>
            <w:tcBorders>
              <w:top w:val="nil"/>
              <w:left w:val="nil"/>
              <w:bottom w:val="nil"/>
              <w:right w:val="nil"/>
            </w:tcBorders>
            <w:shd w:val="clear" w:color="000000" w:fill="E6F2FF"/>
            <w:noWrap/>
            <w:vAlign w:val="center"/>
            <w:hideMark/>
          </w:tcPr>
          <w:p w14:paraId="0865C5A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430</w:t>
            </w:r>
          </w:p>
        </w:tc>
        <w:tc>
          <w:tcPr>
            <w:tcW w:w="47" w:type="pct"/>
            <w:tcBorders>
              <w:top w:val="nil"/>
              <w:left w:val="nil"/>
              <w:bottom w:val="nil"/>
              <w:right w:val="nil"/>
            </w:tcBorders>
            <w:shd w:val="clear" w:color="auto" w:fill="auto"/>
            <w:noWrap/>
            <w:vAlign w:val="center"/>
            <w:hideMark/>
          </w:tcPr>
          <w:p w14:paraId="435C636C"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A5EF23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50</w:t>
            </w:r>
          </w:p>
        </w:tc>
        <w:tc>
          <w:tcPr>
            <w:tcW w:w="687" w:type="pct"/>
            <w:tcBorders>
              <w:top w:val="nil"/>
              <w:left w:val="nil"/>
              <w:bottom w:val="nil"/>
              <w:right w:val="nil"/>
            </w:tcBorders>
            <w:shd w:val="clear" w:color="auto" w:fill="auto"/>
            <w:noWrap/>
            <w:vAlign w:val="center"/>
            <w:hideMark/>
          </w:tcPr>
          <w:p w14:paraId="377EE280"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13.2</w:t>
            </w:r>
          </w:p>
        </w:tc>
      </w:tr>
      <w:tr w:rsidR="00AA3481" w:rsidRPr="00CB3EC8" w14:paraId="46C6E201"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39A1E76" w14:textId="77777777" w:rsidR="00AA3481" w:rsidRPr="00CB3EC8" w:rsidRDefault="00AA3481" w:rsidP="00AA3481">
            <w:pPr>
              <w:spacing w:before="0" w:after="0" w:line="240" w:lineRule="auto"/>
              <w:ind w:left="170"/>
              <w:rPr>
                <w:rFonts w:ascii="Arial" w:hAnsi="Arial" w:cs="Arial"/>
                <w:sz w:val="16"/>
                <w:szCs w:val="16"/>
              </w:rPr>
            </w:pPr>
            <w:r w:rsidRPr="00CB3EC8">
              <w:rPr>
                <w:rFonts w:ascii="Arial" w:hAnsi="Arial" w:cs="Arial"/>
                <w:sz w:val="16"/>
                <w:szCs w:val="16"/>
              </w:rPr>
              <w:t xml:space="preserve">    Other imports</w:t>
            </w:r>
          </w:p>
        </w:tc>
        <w:tc>
          <w:tcPr>
            <w:tcW w:w="745" w:type="pct"/>
            <w:tcBorders>
              <w:top w:val="nil"/>
              <w:left w:val="nil"/>
              <w:bottom w:val="nil"/>
              <w:right w:val="nil"/>
            </w:tcBorders>
            <w:shd w:val="clear" w:color="auto" w:fill="auto"/>
            <w:noWrap/>
            <w:vAlign w:val="center"/>
            <w:hideMark/>
          </w:tcPr>
          <w:p w14:paraId="1A8F5FF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1,350</w:t>
            </w:r>
          </w:p>
        </w:tc>
        <w:tc>
          <w:tcPr>
            <w:tcW w:w="689" w:type="pct"/>
            <w:tcBorders>
              <w:top w:val="nil"/>
              <w:left w:val="nil"/>
              <w:bottom w:val="nil"/>
              <w:right w:val="nil"/>
            </w:tcBorders>
            <w:shd w:val="clear" w:color="000000" w:fill="E6F2FF"/>
            <w:noWrap/>
            <w:vAlign w:val="center"/>
            <w:hideMark/>
          </w:tcPr>
          <w:p w14:paraId="0960A0E8"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1,310</w:t>
            </w:r>
          </w:p>
        </w:tc>
        <w:tc>
          <w:tcPr>
            <w:tcW w:w="47" w:type="pct"/>
            <w:tcBorders>
              <w:top w:val="nil"/>
              <w:left w:val="nil"/>
              <w:bottom w:val="nil"/>
              <w:right w:val="nil"/>
            </w:tcBorders>
            <w:shd w:val="clear" w:color="auto" w:fill="auto"/>
            <w:noWrap/>
            <w:vAlign w:val="center"/>
            <w:hideMark/>
          </w:tcPr>
          <w:p w14:paraId="5B099D86"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1AED153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-40</w:t>
            </w:r>
          </w:p>
        </w:tc>
        <w:tc>
          <w:tcPr>
            <w:tcW w:w="687" w:type="pct"/>
            <w:tcBorders>
              <w:top w:val="nil"/>
              <w:left w:val="nil"/>
              <w:bottom w:val="nil"/>
              <w:right w:val="nil"/>
            </w:tcBorders>
            <w:shd w:val="clear" w:color="auto" w:fill="auto"/>
            <w:noWrap/>
            <w:vAlign w:val="center"/>
            <w:hideMark/>
          </w:tcPr>
          <w:p w14:paraId="1452C7C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-3.0</w:t>
            </w:r>
          </w:p>
        </w:tc>
      </w:tr>
      <w:tr w:rsidR="00AA3481" w:rsidRPr="00CB3EC8" w14:paraId="624174E1" w14:textId="77777777" w:rsidTr="00AA3481">
        <w:trPr>
          <w:divId w:val="1651399002"/>
          <w:trHeight w:hRule="exact" w:val="226"/>
        </w:trPr>
        <w:tc>
          <w:tcPr>
            <w:tcW w:w="2144" w:type="pct"/>
            <w:tcBorders>
              <w:top w:val="nil"/>
              <w:left w:val="nil"/>
              <w:bottom w:val="nil"/>
              <w:right w:val="nil"/>
            </w:tcBorders>
            <w:shd w:val="clear" w:color="auto" w:fill="auto"/>
            <w:noWrap/>
            <w:vAlign w:val="bottom"/>
            <w:hideMark/>
          </w:tcPr>
          <w:p w14:paraId="56D9097E" w14:textId="77777777" w:rsidR="00AA3481" w:rsidRPr="00CB3EC8" w:rsidRDefault="00AA3481" w:rsidP="00AA3481">
            <w:pPr>
              <w:spacing w:before="0" w:after="0" w:line="240" w:lineRule="auto"/>
              <w:ind w:left="170"/>
              <w:rPr>
                <w:rFonts w:ascii="Arial" w:hAnsi="Arial" w:cs="Arial"/>
                <w:i/>
                <w:iCs/>
                <w:sz w:val="16"/>
                <w:szCs w:val="16"/>
              </w:rPr>
            </w:pPr>
            <w:r w:rsidRPr="00CB3EC8">
              <w:rPr>
                <w:rFonts w:ascii="Arial" w:hAnsi="Arial" w:cs="Arial"/>
                <w:i/>
                <w:iCs/>
                <w:sz w:val="16"/>
                <w:szCs w:val="16"/>
              </w:rPr>
              <w:t xml:space="preserve">less: </w:t>
            </w:r>
            <w:r w:rsidRPr="00CB3EC8">
              <w:rPr>
                <w:rFonts w:ascii="Arial" w:hAnsi="Arial" w:cs="Arial"/>
                <w:sz w:val="16"/>
                <w:szCs w:val="16"/>
              </w:rPr>
              <w:t>Refunds and drawbacks</w:t>
            </w:r>
          </w:p>
        </w:tc>
        <w:tc>
          <w:tcPr>
            <w:tcW w:w="745" w:type="pct"/>
            <w:tcBorders>
              <w:top w:val="nil"/>
              <w:left w:val="nil"/>
              <w:bottom w:val="nil"/>
              <w:right w:val="nil"/>
            </w:tcBorders>
            <w:shd w:val="clear" w:color="auto" w:fill="auto"/>
            <w:noWrap/>
            <w:vAlign w:val="center"/>
            <w:hideMark/>
          </w:tcPr>
          <w:p w14:paraId="5F4E0B6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700</w:t>
            </w:r>
          </w:p>
        </w:tc>
        <w:tc>
          <w:tcPr>
            <w:tcW w:w="689" w:type="pct"/>
            <w:tcBorders>
              <w:top w:val="nil"/>
              <w:left w:val="nil"/>
              <w:bottom w:val="nil"/>
              <w:right w:val="nil"/>
            </w:tcBorders>
            <w:shd w:val="clear" w:color="000000" w:fill="E6F2FF"/>
            <w:noWrap/>
            <w:vAlign w:val="center"/>
            <w:hideMark/>
          </w:tcPr>
          <w:p w14:paraId="5018461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700</w:t>
            </w:r>
          </w:p>
        </w:tc>
        <w:tc>
          <w:tcPr>
            <w:tcW w:w="47" w:type="pct"/>
            <w:tcBorders>
              <w:top w:val="nil"/>
              <w:left w:val="nil"/>
              <w:bottom w:val="nil"/>
              <w:right w:val="nil"/>
            </w:tcBorders>
            <w:shd w:val="clear" w:color="auto" w:fill="auto"/>
            <w:noWrap/>
            <w:vAlign w:val="center"/>
            <w:hideMark/>
          </w:tcPr>
          <w:p w14:paraId="4E458166"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5B8203D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w:t>
            </w:r>
          </w:p>
        </w:tc>
        <w:tc>
          <w:tcPr>
            <w:tcW w:w="687" w:type="pct"/>
            <w:tcBorders>
              <w:top w:val="nil"/>
              <w:left w:val="nil"/>
              <w:bottom w:val="nil"/>
              <w:right w:val="nil"/>
            </w:tcBorders>
            <w:shd w:val="clear" w:color="auto" w:fill="auto"/>
            <w:noWrap/>
            <w:vAlign w:val="center"/>
            <w:hideMark/>
          </w:tcPr>
          <w:p w14:paraId="25DB1F0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0.0</w:t>
            </w:r>
          </w:p>
        </w:tc>
      </w:tr>
      <w:tr w:rsidR="00AA3481" w:rsidRPr="00CB3EC8" w14:paraId="60A094B0" w14:textId="77777777" w:rsidTr="00AA3481">
        <w:trPr>
          <w:divId w:val="1651399002"/>
          <w:trHeight w:hRule="exact" w:val="226"/>
        </w:trPr>
        <w:tc>
          <w:tcPr>
            <w:tcW w:w="2144" w:type="pct"/>
            <w:tcBorders>
              <w:top w:val="nil"/>
              <w:left w:val="nil"/>
              <w:bottom w:val="nil"/>
              <w:right w:val="nil"/>
            </w:tcBorders>
            <w:shd w:val="clear" w:color="auto" w:fill="auto"/>
            <w:noWrap/>
            <w:vAlign w:val="bottom"/>
            <w:hideMark/>
          </w:tcPr>
          <w:p w14:paraId="042DBDD3"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Total excise and customs duty</w:t>
            </w:r>
          </w:p>
        </w:tc>
        <w:tc>
          <w:tcPr>
            <w:tcW w:w="745" w:type="pct"/>
            <w:tcBorders>
              <w:top w:val="single" w:sz="4" w:space="0" w:color="293F5B"/>
              <w:left w:val="nil"/>
              <w:bottom w:val="nil"/>
              <w:right w:val="nil"/>
            </w:tcBorders>
            <w:shd w:val="clear" w:color="auto" w:fill="auto"/>
            <w:noWrap/>
            <w:vAlign w:val="center"/>
            <w:hideMark/>
          </w:tcPr>
          <w:p w14:paraId="69D7F23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46,270</w:t>
            </w:r>
          </w:p>
        </w:tc>
        <w:tc>
          <w:tcPr>
            <w:tcW w:w="689" w:type="pct"/>
            <w:tcBorders>
              <w:top w:val="single" w:sz="4" w:space="0" w:color="293F5B"/>
              <w:left w:val="nil"/>
              <w:bottom w:val="nil"/>
              <w:right w:val="nil"/>
            </w:tcBorders>
            <w:shd w:val="clear" w:color="000000" w:fill="E6F2FF"/>
            <w:noWrap/>
            <w:vAlign w:val="center"/>
            <w:hideMark/>
          </w:tcPr>
          <w:p w14:paraId="1C73E20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47,360</w:t>
            </w:r>
          </w:p>
        </w:tc>
        <w:tc>
          <w:tcPr>
            <w:tcW w:w="47" w:type="pct"/>
            <w:tcBorders>
              <w:top w:val="nil"/>
              <w:left w:val="nil"/>
              <w:bottom w:val="nil"/>
              <w:right w:val="nil"/>
            </w:tcBorders>
            <w:shd w:val="clear" w:color="auto" w:fill="auto"/>
            <w:noWrap/>
            <w:vAlign w:val="center"/>
            <w:hideMark/>
          </w:tcPr>
          <w:p w14:paraId="24B3DDCC"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single" w:sz="4" w:space="0" w:color="293F5B"/>
              <w:left w:val="nil"/>
              <w:bottom w:val="nil"/>
              <w:right w:val="nil"/>
            </w:tcBorders>
            <w:shd w:val="clear" w:color="auto" w:fill="auto"/>
            <w:noWrap/>
            <w:vAlign w:val="center"/>
            <w:hideMark/>
          </w:tcPr>
          <w:p w14:paraId="2350A31E"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1,090</w:t>
            </w:r>
          </w:p>
        </w:tc>
        <w:tc>
          <w:tcPr>
            <w:tcW w:w="687" w:type="pct"/>
            <w:tcBorders>
              <w:top w:val="single" w:sz="4" w:space="0" w:color="293F5B"/>
              <w:left w:val="nil"/>
              <w:bottom w:val="nil"/>
              <w:right w:val="nil"/>
            </w:tcBorders>
            <w:shd w:val="clear" w:color="auto" w:fill="auto"/>
            <w:noWrap/>
            <w:vAlign w:val="center"/>
            <w:hideMark/>
          </w:tcPr>
          <w:p w14:paraId="678E7EBA"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2.4</w:t>
            </w:r>
          </w:p>
        </w:tc>
      </w:tr>
      <w:tr w:rsidR="00AA3481" w:rsidRPr="00CB3EC8" w14:paraId="194FDE2F"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B750C17"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Major bank levy</w:t>
            </w:r>
          </w:p>
        </w:tc>
        <w:tc>
          <w:tcPr>
            <w:tcW w:w="745" w:type="pct"/>
            <w:tcBorders>
              <w:top w:val="nil"/>
              <w:left w:val="nil"/>
              <w:bottom w:val="nil"/>
              <w:right w:val="nil"/>
            </w:tcBorders>
            <w:shd w:val="clear" w:color="auto" w:fill="auto"/>
            <w:noWrap/>
            <w:vAlign w:val="center"/>
            <w:hideMark/>
          </w:tcPr>
          <w:p w14:paraId="245D944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1,620</w:t>
            </w:r>
          </w:p>
        </w:tc>
        <w:tc>
          <w:tcPr>
            <w:tcW w:w="689" w:type="pct"/>
            <w:tcBorders>
              <w:top w:val="nil"/>
              <w:left w:val="nil"/>
              <w:bottom w:val="nil"/>
              <w:right w:val="nil"/>
            </w:tcBorders>
            <w:shd w:val="clear" w:color="000000" w:fill="E6F2FF"/>
            <w:noWrap/>
            <w:vAlign w:val="center"/>
            <w:hideMark/>
          </w:tcPr>
          <w:p w14:paraId="350DBA3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1,640</w:t>
            </w:r>
          </w:p>
        </w:tc>
        <w:tc>
          <w:tcPr>
            <w:tcW w:w="47" w:type="pct"/>
            <w:tcBorders>
              <w:top w:val="nil"/>
              <w:left w:val="nil"/>
              <w:bottom w:val="nil"/>
              <w:right w:val="nil"/>
            </w:tcBorders>
            <w:shd w:val="clear" w:color="auto" w:fill="auto"/>
            <w:noWrap/>
            <w:vAlign w:val="center"/>
            <w:hideMark/>
          </w:tcPr>
          <w:p w14:paraId="6AAE7F37"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3533EA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20</w:t>
            </w:r>
          </w:p>
        </w:tc>
        <w:tc>
          <w:tcPr>
            <w:tcW w:w="687" w:type="pct"/>
            <w:tcBorders>
              <w:top w:val="nil"/>
              <w:left w:val="nil"/>
              <w:bottom w:val="nil"/>
              <w:right w:val="nil"/>
            </w:tcBorders>
            <w:shd w:val="clear" w:color="auto" w:fill="auto"/>
            <w:noWrap/>
            <w:vAlign w:val="center"/>
            <w:hideMark/>
          </w:tcPr>
          <w:p w14:paraId="6B96F55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w:t>
            </w:r>
          </w:p>
        </w:tc>
      </w:tr>
      <w:tr w:rsidR="00AA3481" w:rsidRPr="00CB3EC8" w14:paraId="03FE7977"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80B6C0B"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Agricultural levies</w:t>
            </w:r>
          </w:p>
        </w:tc>
        <w:tc>
          <w:tcPr>
            <w:tcW w:w="745" w:type="pct"/>
            <w:tcBorders>
              <w:top w:val="nil"/>
              <w:left w:val="nil"/>
              <w:bottom w:val="nil"/>
              <w:right w:val="nil"/>
            </w:tcBorders>
            <w:shd w:val="clear" w:color="auto" w:fill="auto"/>
            <w:noWrap/>
            <w:vAlign w:val="center"/>
            <w:hideMark/>
          </w:tcPr>
          <w:p w14:paraId="593CB9F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591</w:t>
            </w:r>
          </w:p>
        </w:tc>
        <w:tc>
          <w:tcPr>
            <w:tcW w:w="689" w:type="pct"/>
            <w:tcBorders>
              <w:top w:val="nil"/>
              <w:left w:val="nil"/>
              <w:bottom w:val="nil"/>
              <w:right w:val="nil"/>
            </w:tcBorders>
            <w:shd w:val="clear" w:color="000000" w:fill="E6F2FF"/>
            <w:noWrap/>
            <w:vAlign w:val="center"/>
            <w:hideMark/>
          </w:tcPr>
          <w:p w14:paraId="09B6F5A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586</w:t>
            </w:r>
          </w:p>
        </w:tc>
        <w:tc>
          <w:tcPr>
            <w:tcW w:w="47" w:type="pct"/>
            <w:tcBorders>
              <w:top w:val="nil"/>
              <w:left w:val="nil"/>
              <w:bottom w:val="nil"/>
              <w:right w:val="nil"/>
            </w:tcBorders>
            <w:shd w:val="clear" w:color="auto" w:fill="auto"/>
            <w:noWrap/>
            <w:vAlign w:val="center"/>
            <w:hideMark/>
          </w:tcPr>
          <w:p w14:paraId="4AFAAEA1"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0E0A41B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-5</w:t>
            </w:r>
          </w:p>
        </w:tc>
        <w:tc>
          <w:tcPr>
            <w:tcW w:w="687" w:type="pct"/>
            <w:tcBorders>
              <w:top w:val="nil"/>
              <w:left w:val="nil"/>
              <w:bottom w:val="nil"/>
              <w:right w:val="nil"/>
            </w:tcBorders>
            <w:shd w:val="clear" w:color="auto" w:fill="auto"/>
            <w:noWrap/>
            <w:vAlign w:val="center"/>
            <w:hideMark/>
          </w:tcPr>
          <w:p w14:paraId="3A87BA2F"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-0.9</w:t>
            </w:r>
          </w:p>
        </w:tc>
      </w:tr>
      <w:tr w:rsidR="00AA3481" w:rsidRPr="00CB3EC8" w14:paraId="1B971BFD"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4867C48"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Visa application charges(b)</w:t>
            </w:r>
          </w:p>
        </w:tc>
        <w:tc>
          <w:tcPr>
            <w:tcW w:w="745" w:type="pct"/>
            <w:tcBorders>
              <w:top w:val="nil"/>
              <w:left w:val="nil"/>
              <w:bottom w:val="nil"/>
              <w:right w:val="nil"/>
            </w:tcBorders>
            <w:shd w:val="clear" w:color="auto" w:fill="auto"/>
            <w:noWrap/>
            <w:vAlign w:val="center"/>
            <w:hideMark/>
          </w:tcPr>
          <w:p w14:paraId="465ABCE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2,867</w:t>
            </w:r>
          </w:p>
        </w:tc>
        <w:tc>
          <w:tcPr>
            <w:tcW w:w="689" w:type="pct"/>
            <w:tcBorders>
              <w:top w:val="nil"/>
              <w:left w:val="nil"/>
              <w:bottom w:val="nil"/>
              <w:right w:val="nil"/>
            </w:tcBorders>
            <w:shd w:val="clear" w:color="000000" w:fill="E6F2FF"/>
            <w:noWrap/>
            <w:vAlign w:val="center"/>
            <w:hideMark/>
          </w:tcPr>
          <w:p w14:paraId="220D051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3,125</w:t>
            </w:r>
          </w:p>
        </w:tc>
        <w:tc>
          <w:tcPr>
            <w:tcW w:w="47" w:type="pct"/>
            <w:tcBorders>
              <w:top w:val="nil"/>
              <w:left w:val="nil"/>
              <w:bottom w:val="nil"/>
              <w:right w:val="nil"/>
            </w:tcBorders>
            <w:shd w:val="clear" w:color="auto" w:fill="auto"/>
            <w:noWrap/>
            <w:vAlign w:val="center"/>
            <w:hideMark/>
          </w:tcPr>
          <w:p w14:paraId="68882448"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49E4C67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257</w:t>
            </w:r>
          </w:p>
        </w:tc>
        <w:tc>
          <w:tcPr>
            <w:tcW w:w="687" w:type="pct"/>
            <w:tcBorders>
              <w:top w:val="nil"/>
              <w:left w:val="nil"/>
              <w:bottom w:val="nil"/>
              <w:right w:val="nil"/>
            </w:tcBorders>
            <w:shd w:val="clear" w:color="auto" w:fill="auto"/>
            <w:noWrap/>
            <w:vAlign w:val="center"/>
            <w:hideMark/>
          </w:tcPr>
          <w:p w14:paraId="689E4A5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9.0</w:t>
            </w:r>
          </w:p>
        </w:tc>
      </w:tr>
      <w:tr w:rsidR="00AA3481" w:rsidRPr="00CB3EC8" w14:paraId="46F5BBF1"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0F1982B8"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Other taxes(b)</w:t>
            </w:r>
          </w:p>
        </w:tc>
        <w:tc>
          <w:tcPr>
            <w:tcW w:w="745" w:type="pct"/>
            <w:tcBorders>
              <w:top w:val="nil"/>
              <w:left w:val="nil"/>
              <w:bottom w:val="nil"/>
              <w:right w:val="nil"/>
            </w:tcBorders>
            <w:shd w:val="clear" w:color="000000" w:fill="FFFFFF"/>
            <w:noWrap/>
            <w:vAlign w:val="center"/>
            <w:hideMark/>
          </w:tcPr>
          <w:p w14:paraId="60B87D1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6,011</w:t>
            </w:r>
          </w:p>
        </w:tc>
        <w:tc>
          <w:tcPr>
            <w:tcW w:w="689" w:type="pct"/>
            <w:tcBorders>
              <w:top w:val="nil"/>
              <w:left w:val="nil"/>
              <w:bottom w:val="nil"/>
              <w:right w:val="nil"/>
            </w:tcBorders>
            <w:shd w:val="clear" w:color="000000" w:fill="E6F2FF"/>
            <w:noWrap/>
            <w:vAlign w:val="center"/>
            <w:hideMark/>
          </w:tcPr>
          <w:p w14:paraId="20A4010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6,028</w:t>
            </w:r>
          </w:p>
        </w:tc>
        <w:tc>
          <w:tcPr>
            <w:tcW w:w="47" w:type="pct"/>
            <w:tcBorders>
              <w:top w:val="nil"/>
              <w:left w:val="nil"/>
              <w:bottom w:val="nil"/>
              <w:right w:val="nil"/>
            </w:tcBorders>
            <w:shd w:val="clear" w:color="auto" w:fill="auto"/>
            <w:noWrap/>
            <w:vAlign w:val="center"/>
            <w:hideMark/>
          </w:tcPr>
          <w:p w14:paraId="4EC80DF5"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6BCC547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16</w:t>
            </w:r>
          </w:p>
        </w:tc>
        <w:tc>
          <w:tcPr>
            <w:tcW w:w="687" w:type="pct"/>
            <w:tcBorders>
              <w:top w:val="nil"/>
              <w:left w:val="nil"/>
              <w:bottom w:val="nil"/>
              <w:right w:val="nil"/>
            </w:tcBorders>
            <w:shd w:val="clear" w:color="auto" w:fill="auto"/>
            <w:noWrap/>
            <w:vAlign w:val="center"/>
            <w:hideMark/>
          </w:tcPr>
          <w:p w14:paraId="18D1E2C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0.3</w:t>
            </w:r>
          </w:p>
        </w:tc>
      </w:tr>
      <w:tr w:rsidR="00AA3481" w:rsidRPr="00CB3EC8" w14:paraId="26EFCE65"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C37E99C"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Indirect taxation revenue</w:t>
            </w:r>
          </w:p>
        </w:tc>
        <w:tc>
          <w:tcPr>
            <w:tcW w:w="745" w:type="pct"/>
            <w:tcBorders>
              <w:top w:val="single" w:sz="4" w:space="0" w:color="293F5B"/>
              <w:left w:val="nil"/>
              <w:bottom w:val="single" w:sz="4" w:space="0" w:color="293F5B"/>
              <w:right w:val="nil"/>
            </w:tcBorders>
            <w:shd w:val="clear" w:color="000000" w:fill="FFFFFF"/>
            <w:noWrap/>
            <w:vAlign w:val="center"/>
            <w:hideMark/>
          </w:tcPr>
          <w:p w14:paraId="6809F670"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148,060</w:t>
            </w:r>
          </w:p>
        </w:tc>
        <w:tc>
          <w:tcPr>
            <w:tcW w:w="689" w:type="pct"/>
            <w:tcBorders>
              <w:top w:val="single" w:sz="4" w:space="0" w:color="293F5B"/>
              <w:left w:val="nil"/>
              <w:bottom w:val="single" w:sz="4" w:space="0" w:color="293F5B"/>
              <w:right w:val="nil"/>
            </w:tcBorders>
            <w:shd w:val="clear" w:color="000000" w:fill="E6F2FF"/>
            <w:noWrap/>
            <w:vAlign w:val="center"/>
            <w:hideMark/>
          </w:tcPr>
          <w:p w14:paraId="61400EB0"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149,839</w:t>
            </w:r>
          </w:p>
        </w:tc>
        <w:tc>
          <w:tcPr>
            <w:tcW w:w="47" w:type="pct"/>
            <w:tcBorders>
              <w:top w:val="nil"/>
              <w:left w:val="nil"/>
              <w:bottom w:val="nil"/>
              <w:right w:val="nil"/>
            </w:tcBorders>
            <w:shd w:val="clear" w:color="auto" w:fill="auto"/>
            <w:noWrap/>
            <w:vAlign w:val="center"/>
            <w:hideMark/>
          </w:tcPr>
          <w:p w14:paraId="71805445" w14:textId="77777777" w:rsidR="00AA3481" w:rsidRPr="00CB3EC8" w:rsidRDefault="00AA3481" w:rsidP="00AA3481">
            <w:pPr>
              <w:spacing w:before="0" w:after="0" w:line="240" w:lineRule="auto"/>
              <w:jc w:val="right"/>
              <w:rPr>
                <w:rFonts w:ascii="Arial" w:hAnsi="Arial" w:cs="Arial"/>
                <w:b/>
                <w:bCs/>
                <w:sz w:val="16"/>
                <w:szCs w:val="16"/>
              </w:rPr>
            </w:pPr>
          </w:p>
        </w:tc>
        <w:tc>
          <w:tcPr>
            <w:tcW w:w="687" w:type="pct"/>
            <w:tcBorders>
              <w:top w:val="single" w:sz="4" w:space="0" w:color="293F5B"/>
              <w:left w:val="nil"/>
              <w:bottom w:val="single" w:sz="4" w:space="0" w:color="293F5B"/>
              <w:right w:val="nil"/>
            </w:tcBorders>
            <w:shd w:val="clear" w:color="auto" w:fill="auto"/>
            <w:noWrap/>
            <w:vAlign w:val="center"/>
            <w:hideMark/>
          </w:tcPr>
          <w:p w14:paraId="632DCF34"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1,778</w:t>
            </w:r>
          </w:p>
        </w:tc>
        <w:tc>
          <w:tcPr>
            <w:tcW w:w="687" w:type="pct"/>
            <w:tcBorders>
              <w:top w:val="single" w:sz="4" w:space="0" w:color="293F5B"/>
              <w:left w:val="nil"/>
              <w:bottom w:val="single" w:sz="4" w:space="0" w:color="293F5B"/>
              <w:right w:val="nil"/>
            </w:tcBorders>
            <w:shd w:val="clear" w:color="auto" w:fill="auto"/>
            <w:noWrap/>
            <w:vAlign w:val="center"/>
            <w:hideMark/>
          </w:tcPr>
          <w:p w14:paraId="6F72ECB5"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1.2</w:t>
            </w:r>
          </w:p>
        </w:tc>
      </w:tr>
      <w:tr w:rsidR="00AA3481" w:rsidRPr="00CB3EC8" w14:paraId="2C1210BB"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8CDCF3B"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Taxation revenue</w:t>
            </w:r>
          </w:p>
        </w:tc>
        <w:tc>
          <w:tcPr>
            <w:tcW w:w="745" w:type="pct"/>
            <w:tcBorders>
              <w:top w:val="nil"/>
              <w:left w:val="nil"/>
              <w:bottom w:val="single" w:sz="4" w:space="0" w:color="293F5B"/>
              <w:right w:val="nil"/>
            </w:tcBorders>
            <w:shd w:val="clear" w:color="000000" w:fill="FFFFFF"/>
            <w:noWrap/>
            <w:vAlign w:val="center"/>
            <w:hideMark/>
          </w:tcPr>
          <w:p w14:paraId="6A9402C4"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587,670</w:t>
            </w:r>
          </w:p>
        </w:tc>
        <w:tc>
          <w:tcPr>
            <w:tcW w:w="689" w:type="pct"/>
            <w:tcBorders>
              <w:top w:val="nil"/>
              <w:left w:val="nil"/>
              <w:bottom w:val="single" w:sz="4" w:space="0" w:color="293F5B"/>
              <w:right w:val="nil"/>
            </w:tcBorders>
            <w:shd w:val="clear" w:color="000000" w:fill="E6F2FF"/>
            <w:noWrap/>
            <w:vAlign w:val="center"/>
            <w:hideMark/>
          </w:tcPr>
          <w:p w14:paraId="4B3B0E77"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629,729</w:t>
            </w:r>
          </w:p>
        </w:tc>
        <w:tc>
          <w:tcPr>
            <w:tcW w:w="47" w:type="pct"/>
            <w:tcBorders>
              <w:top w:val="nil"/>
              <w:left w:val="nil"/>
              <w:bottom w:val="nil"/>
              <w:right w:val="nil"/>
            </w:tcBorders>
            <w:shd w:val="clear" w:color="auto" w:fill="auto"/>
            <w:noWrap/>
            <w:vAlign w:val="center"/>
            <w:hideMark/>
          </w:tcPr>
          <w:p w14:paraId="33A6CF56" w14:textId="77777777" w:rsidR="00AA3481" w:rsidRPr="00CB3EC8" w:rsidRDefault="00AA3481" w:rsidP="00AA3481">
            <w:pPr>
              <w:spacing w:before="0" w:after="0" w:line="240" w:lineRule="auto"/>
              <w:jc w:val="right"/>
              <w:rPr>
                <w:rFonts w:ascii="Arial" w:hAnsi="Arial" w:cs="Arial"/>
                <w:b/>
                <w:bCs/>
                <w:sz w:val="16"/>
                <w:szCs w:val="16"/>
              </w:rPr>
            </w:pPr>
          </w:p>
        </w:tc>
        <w:tc>
          <w:tcPr>
            <w:tcW w:w="687" w:type="pct"/>
            <w:tcBorders>
              <w:top w:val="nil"/>
              <w:left w:val="nil"/>
              <w:bottom w:val="single" w:sz="4" w:space="0" w:color="293F5B"/>
              <w:right w:val="nil"/>
            </w:tcBorders>
            <w:shd w:val="clear" w:color="auto" w:fill="auto"/>
            <w:noWrap/>
            <w:vAlign w:val="center"/>
            <w:hideMark/>
          </w:tcPr>
          <w:p w14:paraId="216CE37F"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42,058</w:t>
            </w:r>
          </w:p>
        </w:tc>
        <w:tc>
          <w:tcPr>
            <w:tcW w:w="687" w:type="pct"/>
            <w:tcBorders>
              <w:top w:val="nil"/>
              <w:left w:val="nil"/>
              <w:bottom w:val="single" w:sz="4" w:space="0" w:color="293F5B"/>
              <w:right w:val="nil"/>
            </w:tcBorders>
            <w:shd w:val="clear" w:color="auto" w:fill="auto"/>
            <w:noWrap/>
            <w:vAlign w:val="center"/>
            <w:hideMark/>
          </w:tcPr>
          <w:p w14:paraId="69603D06"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7.2</w:t>
            </w:r>
          </w:p>
        </w:tc>
      </w:tr>
      <w:tr w:rsidR="00AA3481" w:rsidRPr="00CB3EC8" w14:paraId="3444D710" w14:textId="77777777" w:rsidTr="00AA3481">
        <w:trPr>
          <w:divId w:val="1651399002"/>
          <w:trHeight w:hRule="exact" w:val="60"/>
        </w:trPr>
        <w:tc>
          <w:tcPr>
            <w:tcW w:w="2144" w:type="pct"/>
            <w:tcBorders>
              <w:top w:val="nil"/>
              <w:left w:val="nil"/>
              <w:bottom w:val="nil"/>
              <w:right w:val="nil"/>
            </w:tcBorders>
            <w:shd w:val="clear" w:color="auto" w:fill="auto"/>
            <w:noWrap/>
            <w:vAlign w:val="center"/>
            <w:hideMark/>
          </w:tcPr>
          <w:p w14:paraId="4C18B1F2" w14:textId="77777777" w:rsidR="00AA3481" w:rsidRPr="00CB3EC8" w:rsidRDefault="00AA3481" w:rsidP="00AA3481">
            <w:pPr>
              <w:spacing w:before="0" w:after="0" w:line="240" w:lineRule="auto"/>
              <w:jc w:val="right"/>
              <w:rPr>
                <w:rFonts w:ascii="Arial" w:hAnsi="Arial" w:cs="Arial"/>
                <w:b/>
                <w:bCs/>
                <w:sz w:val="16"/>
                <w:szCs w:val="16"/>
              </w:rPr>
            </w:pPr>
          </w:p>
        </w:tc>
        <w:tc>
          <w:tcPr>
            <w:tcW w:w="745" w:type="pct"/>
            <w:tcBorders>
              <w:top w:val="nil"/>
              <w:left w:val="nil"/>
              <w:bottom w:val="nil"/>
              <w:right w:val="nil"/>
            </w:tcBorders>
            <w:shd w:val="clear" w:color="000000" w:fill="FFFFFF"/>
            <w:noWrap/>
            <w:vAlign w:val="center"/>
            <w:hideMark/>
          </w:tcPr>
          <w:p w14:paraId="6A6F6CD9"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 </w:t>
            </w:r>
          </w:p>
        </w:tc>
        <w:tc>
          <w:tcPr>
            <w:tcW w:w="689" w:type="pct"/>
            <w:tcBorders>
              <w:top w:val="nil"/>
              <w:left w:val="nil"/>
              <w:bottom w:val="nil"/>
              <w:right w:val="nil"/>
            </w:tcBorders>
            <w:shd w:val="clear" w:color="000000" w:fill="E6F2FF"/>
            <w:noWrap/>
            <w:vAlign w:val="center"/>
            <w:hideMark/>
          </w:tcPr>
          <w:p w14:paraId="4FAFBC2A"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 </w:t>
            </w:r>
          </w:p>
        </w:tc>
        <w:tc>
          <w:tcPr>
            <w:tcW w:w="47" w:type="pct"/>
            <w:tcBorders>
              <w:top w:val="nil"/>
              <w:left w:val="nil"/>
              <w:bottom w:val="nil"/>
              <w:right w:val="nil"/>
            </w:tcBorders>
            <w:shd w:val="clear" w:color="auto" w:fill="auto"/>
            <w:noWrap/>
            <w:vAlign w:val="center"/>
            <w:hideMark/>
          </w:tcPr>
          <w:p w14:paraId="23D27059" w14:textId="77777777" w:rsidR="00AA3481" w:rsidRPr="00CB3EC8" w:rsidRDefault="00AA3481" w:rsidP="00AA3481">
            <w:pPr>
              <w:spacing w:before="0" w:after="0" w:line="240" w:lineRule="auto"/>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5B2CDF0C" w14:textId="77777777" w:rsidR="00AA3481" w:rsidRPr="00CB3EC8" w:rsidRDefault="00AA3481" w:rsidP="00AA3481">
            <w:pPr>
              <w:spacing w:before="0" w:after="0" w:line="240" w:lineRule="auto"/>
              <w:jc w:val="right"/>
              <w:rPr>
                <w:rFonts w:ascii="Times New Roman" w:hAnsi="Times New Roman"/>
                <w:sz w:val="20"/>
              </w:rPr>
            </w:pPr>
          </w:p>
        </w:tc>
        <w:tc>
          <w:tcPr>
            <w:tcW w:w="687" w:type="pct"/>
            <w:tcBorders>
              <w:top w:val="nil"/>
              <w:left w:val="nil"/>
              <w:bottom w:val="nil"/>
              <w:right w:val="nil"/>
            </w:tcBorders>
            <w:shd w:val="clear" w:color="auto" w:fill="auto"/>
            <w:noWrap/>
            <w:vAlign w:val="center"/>
            <w:hideMark/>
          </w:tcPr>
          <w:p w14:paraId="6375AB98" w14:textId="77777777" w:rsidR="00AA3481" w:rsidRPr="00CB3EC8" w:rsidRDefault="00AA3481" w:rsidP="00AA3481">
            <w:pPr>
              <w:spacing w:before="0" w:after="0" w:line="240" w:lineRule="auto"/>
              <w:jc w:val="right"/>
              <w:rPr>
                <w:rFonts w:ascii="Times New Roman" w:hAnsi="Times New Roman"/>
                <w:sz w:val="20"/>
              </w:rPr>
            </w:pPr>
          </w:p>
        </w:tc>
      </w:tr>
      <w:tr w:rsidR="00AA3481" w:rsidRPr="00CB3EC8" w14:paraId="50713F3B"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4FFB496B"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Sales of goods and services</w:t>
            </w:r>
          </w:p>
        </w:tc>
        <w:tc>
          <w:tcPr>
            <w:tcW w:w="745" w:type="pct"/>
            <w:tcBorders>
              <w:top w:val="nil"/>
              <w:left w:val="nil"/>
              <w:bottom w:val="nil"/>
              <w:right w:val="nil"/>
            </w:tcBorders>
            <w:shd w:val="clear" w:color="000000" w:fill="FFFFFF"/>
            <w:noWrap/>
            <w:vAlign w:val="center"/>
            <w:hideMark/>
          </w:tcPr>
          <w:p w14:paraId="763C681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19,596</w:t>
            </w:r>
          </w:p>
        </w:tc>
        <w:tc>
          <w:tcPr>
            <w:tcW w:w="689" w:type="pct"/>
            <w:tcBorders>
              <w:top w:val="nil"/>
              <w:left w:val="nil"/>
              <w:bottom w:val="nil"/>
              <w:right w:val="nil"/>
            </w:tcBorders>
            <w:shd w:val="clear" w:color="000000" w:fill="E6F2FF"/>
            <w:noWrap/>
            <w:vAlign w:val="center"/>
            <w:hideMark/>
          </w:tcPr>
          <w:p w14:paraId="0671E225"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20,811</w:t>
            </w:r>
          </w:p>
        </w:tc>
        <w:tc>
          <w:tcPr>
            <w:tcW w:w="47" w:type="pct"/>
            <w:tcBorders>
              <w:top w:val="nil"/>
              <w:left w:val="nil"/>
              <w:bottom w:val="nil"/>
              <w:right w:val="nil"/>
            </w:tcBorders>
            <w:shd w:val="clear" w:color="auto" w:fill="auto"/>
            <w:noWrap/>
            <w:vAlign w:val="center"/>
            <w:hideMark/>
          </w:tcPr>
          <w:p w14:paraId="59FD6A4D"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69E3E30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1,215</w:t>
            </w:r>
          </w:p>
        </w:tc>
        <w:tc>
          <w:tcPr>
            <w:tcW w:w="687" w:type="pct"/>
            <w:tcBorders>
              <w:top w:val="nil"/>
              <w:left w:val="nil"/>
              <w:bottom w:val="nil"/>
              <w:right w:val="nil"/>
            </w:tcBorders>
            <w:shd w:val="clear" w:color="auto" w:fill="auto"/>
            <w:noWrap/>
            <w:vAlign w:val="center"/>
            <w:hideMark/>
          </w:tcPr>
          <w:p w14:paraId="6689D304"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6.2</w:t>
            </w:r>
          </w:p>
        </w:tc>
      </w:tr>
      <w:tr w:rsidR="00AA3481" w:rsidRPr="00CB3EC8" w14:paraId="1350CDDB"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2393A12A"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Interest</w:t>
            </w:r>
          </w:p>
        </w:tc>
        <w:tc>
          <w:tcPr>
            <w:tcW w:w="745" w:type="pct"/>
            <w:tcBorders>
              <w:top w:val="nil"/>
              <w:left w:val="nil"/>
              <w:bottom w:val="nil"/>
              <w:right w:val="nil"/>
            </w:tcBorders>
            <w:shd w:val="clear" w:color="000000" w:fill="FFFFFF"/>
            <w:noWrap/>
            <w:vAlign w:val="center"/>
            <w:hideMark/>
          </w:tcPr>
          <w:p w14:paraId="719A7CD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7,476</w:t>
            </w:r>
          </w:p>
        </w:tc>
        <w:tc>
          <w:tcPr>
            <w:tcW w:w="689" w:type="pct"/>
            <w:tcBorders>
              <w:top w:val="nil"/>
              <w:left w:val="nil"/>
              <w:bottom w:val="nil"/>
              <w:right w:val="nil"/>
            </w:tcBorders>
            <w:shd w:val="clear" w:color="000000" w:fill="E6F2FF"/>
            <w:noWrap/>
            <w:vAlign w:val="center"/>
            <w:hideMark/>
          </w:tcPr>
          <w:p w14:paraId="4EB4CB0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9,426</w:t>
            </w:r>
          </w:p>
        </w:tc>
        <w:tc>
          <w:tcPr>
            <w:tcW w:w="47" w:type="pct"/>
            <w:tcBorders>
              <w:top w:val="nil"/>
              <w:left w:val="nil"/>
              <w:bottom w:val="nil"/>
              <w:right w:val="nil"/>
            </w:tcBorders>
            <w:shd w:val="clear" w:color="auto" w:fill="auto"/>
            <w:noWrap/>
            <w:vAlign w:val="center"/>
            <w:hideMark/>
          </w:tcPr>
          <w:p w14:paraId="08DDB3EC"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3C4C192F"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1,950</w:t>
            </w:r>
          </w:p>
        </w:tc>
        <w:tc>
          <w:tcPr>
            <w:tcW w:w="687" w:type="pct"/>
            <w:tcBorders>
              <w:top w:val="nil"/>
              <w:left w:val="nil"/>
              <w:bottom w:val="nil"/>
              <w:right w:val="nil"/>
            </w:tcBorders>
            <w:shd w:val="clear" w:color="auto" w:fill="auto"/>
            <w:noWrap/>
            <w:vAlign w:val="center"/>
            <w:hideMark/>
          </w:tcPr>
          <w:p w14:paraId="4E6EFF9B"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26.1</w:t>
            </w:r>
          </w:p>
        </w:tc>
      </w:tr>
      <w:tr w:rsidR="00AA3481" w:rsidRPr="00CB3EC8" w14:paraId="0D71043C"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1DF5F74B"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Dividends and distributions</w:t>
            </w:r>
          </w:p>
        </w:tc>
        <w:tc>
          <w:tcPr>
            <w:tcW w:w="745" w:type="pct"/>
            <w:tcBorders>
              <w:top w:val="nil"/>
              <w:left w:val="nil"/>
              <w:bottom w:val="nil"/>
              <w:right w:val="nil"/>
            </w:tcBorders>
            <w:shd w:val="clear" w:color="000000" w:fill="FFFFFF"/>
            <w:noWrap/>
            <w:vAlign w:val="center"/>
            <w:hideMark/>
          </w:tcPr>
          <w:p w14:paraId="001CBC9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6,169</w:t>
            </w:r>
          </w:p>
        </w:tc>
        <w:tc>
          <w:tcPr>
            <w:tcW w:w="689" w:type="pct"/>
            <w:tcBorders>
              <w:top w:val="nil"/>
              <w:left w:val="nil"/>
              <w:bottom w:val="nil"/>
              <w:right w:val="nil"/>
            </w:tcBorders>
            <w:shd w:val="clear" w:color="000000" w:fill="E6F2FF"/>
            <w:noWrap/>
            <w:vAlign w:val="center"/>
            <w:hideMark/>
          </w:tcPr>
          <w:p w14:paraId="697B6CC7"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6,913</w:t>
            </w:r>
          </w:p>
        </w:tc>
        <w:tc>
          <w:tcPr>
            <w:tcW w:w="47" w:type="pct"/>
            <w:tcBorders>
              <w:top w:val="nil"/>
              <w:left w:val="nil"/>
              <w:bottom w:val="nil"/>
              <w:right w:val="nil"/>
            </w:tcBorders>
            <w:shd w:val="clear" w:color="auto" w:fill="auto"/>
            <w:noWrap/>
            <w:vAlign w:val="center"/>
            <w:hideMark/>
          </w:tcPr>
          <w:p w14:paraId="3F090787"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5872AA39"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744</w:t>
            </w:r>
          </w:p>
        </w:tc>
        <w:tc>
          <w:tcPr>
            <w:tcW w:w="687" w:type="pct"/>
            <w:tcBorders>
              <w:top w:val="nil"/>
              <w:left w:val="nil"/>
              <w:bottom w:val="nil"/>
              <w:right w:val="nil"/>
            </w:tcBorders>
            <w:shd w:val="clear" w:color="auto" w:fill="auto"/>
            <w:noWrap/>
            <w:vAlign w:val="center"/>
            <w:hideMark/>
          </w:tcPr>
          <w:p w14:paraId="41F920ED"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12.1</w:t>
            </w:r>
          </w:p>
        </w:tc>
      </w:tr>
      <w:tr w:rsidR="00AA3481" w:rsidRPr="00CB3EC8" w14:paraId="5D717BB7"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43BC26FF" w14:textId="77777777" w:rsidR="00AA3481" w:rsidRPr="00CB3EC8" w:rsidRDefault="00AA3481" w:rsidP="00AA3481">
            <w:pPr>
              <w:spacing w:before="0" w:after="0" w:line="240" w:lineRule="auto"/>
              <w:rPr>
                <w:rFonts w:ascii="Arial" w:hAnsi="Arial" w:cs="Arial"/>
                <w:sz w:val="16"/>
                <w:szCs w:val="16"/>
              </w:rPr>
            </w:pPr>
            <w:r w:rsidRPr="00CB3EC8">
              <w:rPr>
                <w:rFonts w:ascii="Arial" w:hAnsi="Arial" w:cs="Arial"/>
                <w:sz w:val="16"/>
                <w:szCs w:val="16"/>
              </w:rPr>
              <w:t>Other non-taxation revenue</w:t>
            </w:r>
          </w:p>
        </w:tc>
        <w:tc>
          <w:tcPr>
            <w:tcW w:w="745" w:type="pct"/>
            <w:tcBorders>
              <w:top w:val="nil"/>
              <w:left w:val="nil"/>
              <w:bottom w:val="nil"/>
              <w:right w:val="nil"/>
            </w:tcBorders>
            <w:shd w:val="clear" w:color="000000" w:fill="FFFFFF"/>
            <w:noWrap/>
            <w:vAlign w:val="center"/>
            <w:hideMark/>
          </w:tcPr>
          <w:p w14:paraId="2430DD21"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12,528</w:t>
            </w:r>
          </w:p>
        </w:tc>
        <w:tc>
          <w:tcPr>
            <w:tcW w:w="689" w:type="pct"/>
            <w:tcBorders>
              <w:top w:val="nil"/>
              <w:left w:val="nil"/>
              <w:bottom w:val="nil"/>
              <w:right w:val="nil"/>
            </w:tcBorders>
            <w:shd w:val="clear" w:color="000000" w:fill="E6F2FF"/>
            <w:noWrap/>
            <w:vAlign w:val="center"/>
            <w:hideMark/>
          </w:tcPr>
          <w:p w14:paraId="01A00253"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13,494</w:t>
            </w:r>
          </w:p>
        </w:tc>
        <w:tc>
          <w:tcPr>
            <w:tcW w:w="47" w:type="pct"/>
            <w:tcBorders>
              <w:top w:val="nil"/>
              <w:left w:val="nil"/>
              <w:bottom w:val="nil"/>
              <w:right w:val="nil"/>
            </w:tcBorders>
            <w:shd w:val="clear" w:color="auto" w:fill="auto"/>
            <w:noWrap/>
            <w:vAlign w:val="center"/>
            <w:hideMark/>
          </w:tcPr>
          <w:p w14:paraId="7285DAA1" w14:textId="77777777" w:rsidR="00AA3481" w:rsidRPr="00CB3EC8" w:rsidRDefault="00AA3481" w:rsidP="00AA3481">
            <w:pPr>
              <w:spacing w:before="0" w:after="0" w:line="240" w:lineRule="auto"/>
              <w:jc w:val="right"/>
              <w:rPr>
                <w:rFonts w:ascii="Arial" w:hAnsi="Arial" w:cs="Arial"/>
                <w:sz w:val="16"/>
                <w:szCs w:val="16"/>
              </w:rPr>
            </w:pPr>
          </w:p>
        </w:tc>
        <w:tc>
          <w:tcPr>
            <w:tcW w:w="687" w:type="pct"/>
            <w:tcBorders>
              <w:top w:val="nil"/>
              <w:left w:val="nil"/>
              <w:bottom w:val="nil"/>
              <w:right w:val="nil"/>
            </w:tcBorders>
            <w:shd w:val="clear" w:color="auto" w:fill="auto"/>
            <w:noWrap/>
            <w:vAlign w:val="center"/>
            <w:hideMark/>
          </w:tcPr>
          <w:p w14:paraId="14214056"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965</w:t>
            </w:r>
          </w:p>
        </w:tc>
        <w:tc>
          <w:tcPr>
            <w:tcW w:w="687" w:type="pct"/>
            <w:tcBorders>
              <w:top w:val="nil"/>
              <w:left w:val="nil"/>
              <w:bottom w:val="nil"/>
              <w:right w:val="nil"/>
            </w:tcBorders>
            <w:shd w:val="clear" w:color="auto" w:fill="auto"/>
            <w:noWrap/>
            <w:vAlign w:val="center"/>
            <w:hideMark/>
          </w:tcPr>
          <w:p w14:paraId="5AADED32" w14:textId="77777777" w:rsidR="00AA3481" w:rsidRPr="00CB3EC8" w:rsidRDefault="00AA3481" w:rsidP="00AA3481">
            <w:pPr>
              <w:spacing w:before="0" w:after="0" w:line="240" w:lineRule="auto"/>
              <w:jc w:val="right"/>
              <w:rPr>
                <w:rFonts w:ascii="Arial" w:hAnsi="Arial" w:cs="Arial"/>
                <w:sz w:val="16"/>
                <w:szCs w:val="16"/>
              </w:rPr>
            </w:pPr>
            <w:r w:rsidRPr="00CB3EC8">
              <w:rPr>
                <w:rFonts w:ascii="Arial" w:hAnsi="Arial" w:cs="Arial"/>
                <w:sz w:val="16"/>
                <w:szCs w:val="16"/>
              </w:rPr>
              <w:t>7.7</w:t>
            </w:r>
          </w:p>
        </w:tc>
      </w:tr>
      <w:tr w:rsidR="00AA3481" w:rsidRPr="00CB3EC8" w14:paraId="1D62395D"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65A4128A"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Non-taxation revenue</w:t>
            </w:r>
          </w:p>
        </w:tc>
        <w:tc>
          <w:tcPr>
            <w:tcW w:w="745" w:type="pct"/>
            <w:tcBorders>
              <w:top w:val="single" w:sz="4" w:space="0" w:color="293F5B"/>
              <w:left w:val="nil"/>
              <w:bottom w:val="single" w:sz="4" w:space="0" w:color="293F5B"/>
              <w:right w:val="nil"/>
            </w:tcBorders>
            <w:shd w:val="clear" w:color="000000" w:fill="FFFFFF"/>
            <w:noWrap/>
            <w:vAlign w:val="center"/>
            <w:hideMark/>
          </w:tcPr>
          <w:p w14:paraId="62682A06"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45,769</w:t>
            </w:r>
          </w:p>
        </w:tc>
        <w:tc>
          <w:tcPr>
            <w:tcW w:w="689" w:type="pct"/>
            <w:tcBorders>
              <w:top w:val="single" w:sz="4" w:space="0" w:color="293F5B"/>
              <w:left w:val="nil"/>
              <w:bottom w:val="single" w:sz="4" w:space="0" w:color="293F5B"/>
              <w:right w:val="nil"/>
            </w:tcBorders>
            <w:shd w:val="clear" w:color="000000" w:fill="E6F2FF"/>
            <w:noWrap/>
            <w:vAlign w:val="center"/>
            <w:hideMark/>
          </w:tcPr>
          <w:p w14:paraId="5121059D"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50,643</w:t>
            </w:r>
          </w:p>
        </w:tc>
        <w:tc>
          <w:tcPr>
            <w:tcW w:w="47" w:type="pct"/>
            <w:tcBorders>
              <w:top w:val="nil"/>
              <w:left w:val="nil"/>
              <w:bottom w:val="nil"/>
              <w:right w:val="nil"/>
            </w:tcBorders>
            <w:shd w:val="clear" w:color="auto" w:fill="auto"/>
            <w:noWrap/>
            <w:vAlign w:val="center"/>
            <w:hideMark/>
          </w:tcPr>
          <w:p w14:paraId="7AE14547" w14:textId="77777777" w:rsidR="00AA3481" w:rsidRPr="00CB3EC8" w:rsidRDefault="00AA3481" w:rsidP="00AA3481">
            <w:pPr>
              <w:spacing w:before="0" w:after="0" w:line="240" w:lineRule="auto"/>
              <w:jc w:val="right"/>
              <w:rPr>
                <w:rFonts w:ascii="Arial" w:hAnsi="Arial" w:cs="Arial"/>
                <w:b/>
                <w:bCs/>
                <w:sz w:val="16"/>
                <w:szCs w:val="16"/>
              </w:rPr>
            </w:pPr>
          </w:p>
        </w:tc>
        <w:tc>
          <w:tcPr>
            <w:tcW w:w="687" w:type="pct"/>
            <w:tcBorders>
              <w:top w:val="single" w:sz="4" w:space="0" w:color="293F5B"/>
              <w:left w:val="nil"/>
              <w:bottom w:val="single" w:sz="4" w:space="0" w:color="293F5B"/>
              <w:right w:val="nil"/>
            </w:tcBorders>
            <w:shd w:val="clear" w:color="auto" w:fill="auto"/>
            <w:noWrap/>
            <w:vAlign w:val="center"/>
            <w:hideMark/>
          </w:tcPr>
          <w:p w14:paraId="2F2BAE8E"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4,874</w:t>
            </w:r>
          </w:p>
        </w:tc>
        <w:tc>
          <w:tcPr>
            <w:tcW w:w="687" w:type="pct"/>
            <w:tcBorders>
              <w:top w:val="single" w:sz="4" w:space="0" w:color="293F5B"/>
              <w:left w:val="nil"/>
              <w:bottom w:val="single" w:sz="4" w:space="0" w:color="293F5B"/>
              <w:right w:val="nil"/>
            </w:tcBorders>
            <w:shd w:val="clear" w:color="auto" w:fill="auto"/>
            <w:noWrap/>
            <w:vAlign w:val="center"/>
            <w:hideMark/>
          </w:tcPr>
          <w:p w14:paraId="39D43782"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10.6</w:t>
            </w:r>
          </w:p>
        </w:tc>
      </w:tr>
      <w:tr w:rsidR="00AA3481" w:rsidRPr="00CB3EC8" w14:paraId="03AB31FA" w14:textId="77777777" w:rsidTr="00AA3481">
        <w:trPr>
          <w:divId w:val="1651399002"/>
          <w:trHeight w:hRule="exact" w:val="226"/>
        </w:trPr>
        <w:tc>
          <w:tcPr>
            <w:tcW w:w="2144" w:type="pct"/>
            <w:tcBorders>
              <w:top w:val="nil"/>
              <w:left w:val="nil"/>
              <w:bottom w:val="single" w:sz="4" w:space="0" w:color="293F5B"/>
              <w:right w:val="nil"/>
            </w:tcBorders>
            <w:shd w:val="clear" w:color="auto" w:fill="auto"/>
            <w:noWrap/>
            <w:vAlign w:val="center"/>
            <w:hideMark/>
          </w:tcPr>
          <w:p w14:paraId="5C3F7508"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Total revenue</w:t>
            </w:r>
          </w:p>
        </w:tc>
        <w:tc>
          <w:tcPr>
            <w:tcW w:w="745" w:type="pct"/>
            <w:tcBorders>
              <w:top w:val="nil"/>
              <w:left w:val="nil"/>
              <w:bottom w:val="single" w:sz="4" w:space="0" w:color="293F5B"/>
              <w:right w:val="nil"/>
            </w:tcBorders>
            <w:shd w:val="clear" w:color="000000" w:fill="FFFFFF"/>
            <w:noWrap/>
            <w:vAlign w:val="center"/>
            <w:hideMark/>
          </w:tcPr>
          <w:p w14:paraId="0979A25B"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633,439</w:t>
            </w:r>
          </w:p>
        </w:tc>
        <w:tc>
          <w:tcPr>
            <w:tcW w:w="689" w:type="pct"/>
            <w:tcBorders>
              <w:top w:val="nil"/>
              <w:left w:val="nil"/>
              <w:bottom w:val="single" w:sz="4" w:space="0" w:color="293F5B"/>
              <w:right w:val="nil"/>
            </w:tcBorders>
            <w:shd w:val="clear" w:color="000000" w:fill="E6F2FF"/>
            <w:noWrap/>
            <w:vAlign w:val="center"/>
            <w:hideMark/>
          </w:tcPr>
          <w:p w14:paraId="1A56267F"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680,372</w:t>
            </w:r>
          </w:p>
        </w:tc>
        <w:tc>
          <w:tcPr>
            <w:tcW w:w="47" w:type="pct"/>
            <w:tcBorders>
              <w:top w:val="nil"/>
              <w:left w:val="nil"/>
              <w:bottom w:val="single" w:sz="4" w:space="0" w:color="293F5B"/>
              <w:right w:val="nil"/>
            </w:tcBorders>
            <w:shd w:val="clear" w:color="auto" w:fill="auto"/>
            <w:noWrap/>
            <w:vAlign w:val="center"/>
            <w:hideMark/>
          </w:tcPr>
          <w:p w14:paraId="760F9AC5"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 </w:t>
            </w:r>
          </w:p>
        </w:tc>
        <w:tc>
          <w:tcPr>
            <w:tcW w:w="687" w:type="pct"/>
            <w:tcBorders>
              <w:top w:val="nil"/>
              <w:left w:val="nil"/>
              <w:bottom w:val="single" w:sz="4" w:space="0" w:color="293F5B"/>
              <w:right w:val="nil"/>
            </w:tcBorders>
            <w:shd w:val="clear" w:color="auto" w:fill="auto"/>
            <w:noWrap/>
            <w:vAlign w:val="center"/>
            <w:hideMark/>
          </w:tcPr>
          <w:p w14:paraId="4FB16017"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46,933</w:t>
            </w:r>
          </w:p>
        </w:tc>
        <w:tc>
          <w:tcPr>
            <w:tcW w:w="687" w:type="pct"/>
            <w:tcBorders>
              <w:top w:val="nil"/>
              <w:left w:val="nil"/>
              <w:bottom w:val="single" w:sz="4" w:space="0" w:color="293F5B"/>
              <w:right w:val="nil"/>
            </w:tcBorders>
            <w:shd w:val="clear" w:color="auto" w:fill="auto"/>
            <w:noWrap/>
            <w:vAlign w:val="center"/>
            <w:hideMark/>
          </w:tcPr>
          <w:p w14:paraId="62C03B2E"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7.4</w:t>
            </w:r>
          </w:p>
        </w:tc>
      </w:tr>
      <w:tr w:rsidR="00AA3481" w:rsidRPr="00CB3EC8" w14:paraId="22264770"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59A8E443" w14:textId="77777777" w:rsidR="00AA3481" w:rsidRPr="00CB3EC8" w:rsidRDefault="00AA3481" w:rsidP="00AA3481">
            <w:pPr>
              <w:spacing w:before="0" w:after="0" w:line="240" w:lineRule="auto"/>
              <w:rPr>
                <w:rFonts w:ascii="Arial" w:hAnsi="Arial" w:cs="Arial"/>
                <w:i/>
                <w:iCs/>
                <w:sz w:val="16"/>
                <w:szCs w:val="16"/>
              </w:rPr>
            </w:pPr>
            <w:r w:rsidRPr="00CB3EC8">
              <w:rPr>
                <w:rFonts w:ascii="Arial" w:hAnsi="Arial" w:cs="Arial"/>
                <w:i/>
                <w:iCs/>
                <w:sz w:val="16"/>
                <w:szCs w:val="16"/>
              </w:rPr>
              <w:t>Memorandum:</w:t>
            </w:r>
          </w:p>
        </w:tc>
        <w:tc>
          <w:tcPr>
            <w:tcW w:w="745" w:type="pct"/>
            <w:tcBorders>
              <w:top w:val="nil"/>
              <w:left w:val="nil"/>
              <w:bottom w:val="nil"/>
              <w:right w:val="nil"/>
            </w:tcBorders>
            <w:shd w:val="clear" w:color="000000" w:fill="FFFFFF"/>
            <w:noWrap/>
            <w:vAlign w:val="center"/>
            <w:hideMark/>
          </w:tcPr>
          <w:p w14:paraId="3F49D121" w14:textId="77777777" w:rsidR="00AA3481" w:rsidRPr="00CB3EC8" w:rsidRDefault="00AA3481" w:rsidP="00AA3481">
            <w:pPr>
              <w:spacing w:before="0" w:after="0" w:line="240" w:lineRule="auto"/>
              <w:jc w:val="right"/>
              <w:rPr>
                <w:rFonts w:ascii="Arial" w:hAnsi="Arial" w:cs="Arial"/>
                <w:b/>
                <w:bCs/>
                <w:sz w:val="16"/>
                <w:szCs w:val="16"/>
              </w:rPr>
            </w:pPr>
            <w:r w:rsidRPr="00CB3EC8">
              <w:rPr>
                <w:rFonts w:ascii="Arial" w:hAnsi="Arial" w:cs="Arial"/>
                <w:b/>
                <w:bCs/>
                <w:sz w:val="16"/>
                <w:szCs w:val="16"/>
              </w:rPr>
              <w:t> </w:t>
            </w:r>
          </w:p>
        </w:tc>
        <w:tc>
          <w:tcPr>
            <w:tcW w:w="689" w:type="pct"/>
            <w:tcBorders>
              <w:top w:val="nil"/>
              <w:left w:val="nil"/>
              <w:bottom w:val="nil"/>
              <w:right w:val="nil"/>
            </w:tcBorders>
            <w:shd w:val="clear" w:color="000000" w:fill="E6F2FF"/>
            <w:noWrap/>
            <w:vAlign w:val="center"/>
            <w:hideMark/>
          </w:tcPr>
          <w:p w14:paraId="0DE8C352" w14:textId="77777777" w:rsidR="00AA3481" w:rsidRPr="00CB3EC8" w:rsidRDefault="00AA3481" w:rsidP="00AA3481">
            <w:pPr>
              <w:spacing w:before="0" w:after="0" w:line="240" w:lineRule="auto"/>
              <w:rPr>
                <w:rFonts w:ascii="Arial" w:hAnsi="Arial" w:cs="Arial"/>
                <w:b/>
                <w:bCs/>
                <w:sz w:val="16"/>
                <w:szCs w:val="16"/>
              </w:rPr>
            </w:pPr>
            <w:r w:rsidRPr="00CB3EC8">
              <w:rPr>
                <w:rFonts w:ascii="Arial" w:hAnsi="Arial" w:cs="Arial"/>
                <w:b/>
                <w:bCs/>
                <w:sz w:val="16"/>
                <w:szCs w:val="16"/>
              </w:rPr>
              <w:t> </w:t>
            </w:r>
          </w:p>
        </w:tc>
        <w:tc>
          <w:tcPr>
            <w:tcW w:w="47" w:type="pct"/>
            <w:tcBorders>
              <w:top w:val="nil"/>
              <w:left w:val="nil"/>
              <w:bottom w:val="nil"/>
              <w:right w:val="nil"/>
            </w:tcBorders>
            <w:shd w:val="clear" w:color="auto" w:fill="auto"/>
            <w:noWrap/>
            <w:vAlign w:val="center"/>
            <w:hideMark/>
          </w:tcPr>
          <w:p w14:paraId="3599DC95" w14:textId="77777777" w:rsidR="00AA3481" w:rsidRPr="00CB3EC8" w:rsidRDefault="00AA3481" w:rsidP="00AA3481">
            <w:pPr>
              <w:spacing w:before="0" w:after="0" w:line="240" w:lineRule="auto"/>
              <w:rPr>
                <w:rFonts w:ascii="Arial" w:hAnsi="Arial" w:cs="Arial"/>
                <w:b/>
                <w:bCs/>
                <w:sz w:val="16"/>
                <w:szCs w:val="16"/>
              </w:rPr>
            </w:pPr>
          </w:p>
        </w:tc>
        <w:tc>
          <w:tcPr>
            <w:tcW w:w="687" w:type="pct"/>
            <w:tcBorders>
              <w:top w:val="nil"/>
              <w:left w:val="nil"/>
              <w:bottom w:val="nil"/>
              <w:right w:val="nil"/>
            </w:tcBorders>
            <w:shd w:val="clear" w:color="auto" w:fill="auto"/>
            <w:noWrap/>
            <w:vAlign w:val="center"/>
            <w:hideMark/>
          </w:tcPr>
          <w:p w14:paraId="6AB01804" w14:textId="77777777" w:rsidR="00AA3481" w:rsidRPr="00CB3EC8" w:rsidRDefault="00AA3481" w:rsidP="00AA3481">
            <w:pPr>
              <w:spacing w:before="0" w:after="0" w:line="240" w:lineRule="auto"/>
              <w:jc w:val="right"/>
              <w:rPr>
                <w:rFonts w:ascii="Times New Roman" w:hAnsi="Times New Roman"/>
                <w:sz w:val="20"/>
              </w:rPr>
            </w:pPr>
          </w:p>
        </w:tc>
        <w:tc>
          <w:tcPr>
            <w:tcW w:w="687" w:type="pct"/>
            <w:tcBorders>
              <w:top w:val="nil"/>
              <w:left w:val="nil"/>
              <w:bottom w:val="nil"/>
              <w:right w:val="nil"/>
            </w:tcBorders>
            <w:shd w:val="clear" w:color="auto" w:fill="auto"/>
            <w:noWrap/>
            <w:vAlign w:val="center"/>
            <w:hideMark/>
          </w:tcPr>
          <w:p w14:paraId="00965422" w14:textId="77777777" w:rsidR="00AA3481" w:rsidRPr="00CB3EC8" w:rsidRDefault="00AA3481" w:rsidP="00AA3481">
            <w:pPr>
              <w:spacing w:before="0" w:after="0" w:line="240" w:lineRule="auto"/>
              <w:jc w:val="right"/>
              <w:rPr>
                <w:rFonts w:ascii="Times New Roman" w:hAnsi="Times New Roman"/>
                <w:sz w:val="20"/>
              </w:rPr>
            </w:pPr>
          </w:p>
        </w:tc>
      </w:tr>
      <w:tr w:rsidR="00AA3481" w:rsidRPr="00CB3EC8" w14:paraId="28867473"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318F582D" w14:textId="77777777" w:rsidR="00AA3481" w:rsidRPr="00CB3EC8" w:rsidRDefault="00AA3481" w:rsidP="00AA3481">
            <w:pPr>
              <w:spacing w:before="0" w:after="0" w:line="240" w:lineRule="auto"/>
              <w:ind w:left="170"/>
              <w:rPr>
                <w:rFonts w:ascii="Arial" w:hAnsi="Arial" w:cs="Arial"/>
                <w:i/>
                <w:iCs/>
                <w:sz w:val="16"/>
                <w:szCs w:val="16"/>
              </w:rPr>
            </w:pPr>
            <w:r w:rsidRPr="00CB3EC8">
              <w:rPr>
                <w:rFonts w:ascii="Arial" w:hAnsi="Arial" w:cs="Arial"/>
                <w:i/>
                <w:iCs/>
                <w:sz w:val="16"/>
                <w:szCs w:val="16"/>
              </w:rPr>
              <w:t>Total excise</w:t>
            </w:r>
          </w:p>
        </w:tc>
        <w:tc>
          <w:tcPr>
            <w:tcW w:w="745" w:type="pct"/>
            <w:tcBorders>
              <w:top w:val="nil"/>
              <w:left w:val="nil"/>
              <w:bottom w:val="nil"/>
              <w:right w:val="nil"/>
            </w:tcBorders>
            <w:shd w:val="clear" w:color="auto" w:fill="auto"/>
            <w:noWrap/>
            <w:vAlign w:val="center"/>
            <w:hideMark/>
          </w:tcPr>
          <w:p w14:paraId="63367613"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31,850</w:t>
            </w:r>
          </w:p>
        </w:tc>
        <w:tc>
          <w:tcPr>
            <w:tcW w:w="689" w:type="pct"/>
            <w:tcBorders>
              <w:top w:val="nil"/>
              <w:left w:val="nil"/>
              <w:bottom w:val="nil"/>
              <w:right w:val="nil"/>
            </w:tcBorders>
            <w:shd w:val="clear" w:color="000000" w:fill="E6F2FF"/>
            <w:noWrap/>
            <w:vAlign w:val="center"/>
            <w:hideMark/>
          </w:tcPr>
          <w:p w14:paraId="3B5C902E"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30,090</w:t>
            </w:r>
          </w:p>
        </w:tc>
        <w:tc>
          <w:tcPr>
            <w:tcW w:w="47" w:type="pct"/>
            <w:tcBorders>
              <w:top w:val="nil"/>
              <w:left w:val="nil"/>
              <w:bottom w:val="nil"/>
              <w:right w:val="nil"/>
            </w:tcBorders>
            <w:shd w:val="clear" w:color="auto" w:fill="auto"/>
            <w:noWrap/>
            <w:vAlign w:val="center"/>
            <w:hideMark/>
          </w:tcPr>
          <w:p w14:paraId="69140BA0" w14:textId="77777777" w:rsidR="00AA3481" w:rsidRPr="00CB3EC8" w:rsidRDefault="00AA3481" w:rsidP="00AA3481">
            <w:pPr>
              <w:spacing w:before="0" w:after="0" w:line="240" w:lineRule="auto"/>
              <w:jc w:val="right"/>
              <w:rPr>
                <w:rFonts w:ascii="Arial" w:hAnsi="Arial" w:cs="Arial"/>
                <w:i/>
                <w:iCs/>
                <w:sz w:val="16"/>
                <w:szCs w:val="16"/>
              </w:rPr>
            </w:pPr>
          </w:p>
        </w:tc>
        <w:tc>
          <w:tcPr>
            <w:tcW w:w="687" w:type="pct"/>
            <w:tcBorders>
              <w:top w:val="nil"/>
              <w:left w:val="nil"/>
              <w:bottom w:val="nil"/>
              <w:right w:val="nil"/>
            </w:tcBorders>
            <w:shd w:val="clear" w:color="auto" w:fill="auto"/>
            <w:noWrap/>
            <w:vAlign w:val="center"/>
            <w:hideMark/>
          </w:tcPr>
          <w:p w14:paraId="410EEDF0"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-1,760</w:t>
            </w:r>
          </w:p>
        </w:tc>
        <w:tc>
          <w:tcPr>
            <w:tcW w:w="687" w:type="pct"/>
            <w:tcBorders>
              <w:top w:val="nil"/>
              <w:left w:val="nil"/>
              <w:bottom w:val="nil"/>
              <w:right w:val="nil"/>
            </w:tcBorders>
            <w:shd w:val="clear" w:color="auto" w:fill="auto"/>
            <w:noWrap/>
            <w:vAlign w:val="center"/>
            <w:hideMark/>
          </w:tcPr>
          <w:p w14:paraId="74CAF0D8"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-5.5</w:t>
            </w:r>
          </w:p>
        </w:tc>
      </w:tr>
      <w:tr w:rsidR="00AA3481" w:rsidRPr="00CB3EC8" w14:paraId="70A74A95" w14:textId="77777777" w:rsidTr="00AA3481">
        <w:trPr>
          <w:divId w:val="1651399002"/>
          <w:trHeight w:hRule="exact" w:val="226"/>
        </w:trPr>
        <w:tc>
          <w:tcPr>
            <w:tcW w:w="2144" w:type="pct"/>
            <w:tcBorders>
              <w:top w:val="nil"/>
              <w:left w:val="nil"/>
              <w:bottom w:val="nil"/>
              <w:right w:val="nil"/>
            </w:tcBorders>
            <w:shd w:val="clear" w:color="auto" w:fill="auto"/>
            <w:noWrap/>
            <w:vAlign w:val="center"/>
            <w:hideMark/>
          </w:tcPr>
          <w:p w14:paraId="492E1B7F" w14:textId="77777777" w:rsidR="00AA3481" w:rsidRPr="00CB3EC8" w:rsidRDefault="00AA3481" w:rsidP="00AA3481">
            <w:pPr>
              <w:spacing w:before="0" w:after="0" w:line="240" w:lineRule="auto"/>
              <w:ind w:left="170"/>
              <w:rPr>
                <w:rFonts w:ascii="Arial" w:hAnsi="Arial" w:cs="Arial"/>
                <w:i/>
                <w:iCs/>
                <w:sz w:val="16"/>
                <w:szCs w:val="16"/>
              </w:rPr>
            </w:pPr>
            <w:r w:rsidRPr="00CB3EC8">
              <w:rPr>
                <w:rFonts w:ascii="Arial" w:hAnsi="Arial" w:cs="Arial"/>
                <w:i/>
                <w:iCs/>
                <w:sz w:val="16"/>
                <w:szCs w:val="16"/>
              </w:rPr>
              <w:t>Total customs duty</w:t>
            </w:r>
          </w:p>
        </w:tc>
        <w:tc>
          <w:tcPr>
            <w:tcW w:w="745" w:type="pct"/>
            <w:tcBorders>
              <w:top w:val="nil"/>
              <w:left w:val="nil"/>
              <w:bottom w:val="nil"/>
              <w:right w:val="nil"/>
            </w:tcBorders>
            <w:shd w:val="clear" w:color="auto" w:fill="auto"/>
            <w:noWrap/>
            <w:vAlign w:val="center"/>
            <w:hideMark/>
          </w:tcPr>
          <w:p w14:paraId="08E1A810"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14,420</w:t>
            </w:r>
          </w:p>
        </w:tc>
        <w:tc>
          <w:tcPr>
            <w:tcW w:w="689" w:type="pct"/>
            <w:tcBorders>
              <w:top w:val="nil"/>
              <w:left w:val="nil"/>
              <w:bottom w:val="nil"/>
              <w:right w:val="nil"/>
            </w:tcBorders>
            <w:shd w:val="clear" w:color="000000" w:fill="E6F2FF"/>
            <w:noWrap/>
            <w:vAlign w:val="center"/>
            <w:hideMark/>
          </w:tcPr>
          <w:p w14:paraId="53F927E2"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17,270</w:t>
            </w:r>
          </w:p>
        </w:tc>
        <w:tc>
          <w:tcPr>
            <w:tcW w:w="47" w:type="pct"/>
            <w:tcBorders>
              <w:top w:val="nil"/>
              <w:left w:val="nil"/>
              <w:bottom w:val="nil"/>
              <w:right w:val="nil"/>
            </w:tcBorders>
            <w:shd w:val="clear" w:color="auto" w:fill="auto"/>
            <w:noWrap/>
            <w:vAlign w:val="center"/>
            <w:hideMark/>
          </w:tcPr>
          <w:p w14:paraId="187BDA2D" w14:textId="77777777" w:rsidR="00AA3481" w:rsidRPr="00CB3EC8" w:rsidRDefault="00AA3481" w:rsidP="00AA3481">
            <w:pPr>
              <w:spacing w:before="0" w:after="0" w:line="240" w:lineRule="auto"/>
              <w:jc w:val="right"/>
              <w:rPr>
                <w:rFonts w:ascii="Arial" w:hAnsi="Arial" w:cs="Arial"/>
                <w:i/>
                <w:iCs/>
                <w:sz w:val="16"/>
                <w:szCs w:val="16"/>
              </w:rPr>
            </w:pPr>
          </w:p>
        </w:tc>
        <w:tc>
          <w:tcPr>
            <w:tcW w:w="687" w:type="pct"/>
            <w:tcBorders>
              <w:top w:val="nil"/>
              <w:left w:val="nil"/>
              <w:bottom w:val="nil"/>
              <w:right w:val="nil"/>
            </w:tcBorders>
            <w:shd w:val="clear" w:color="auto" w:fill="auto"/>
            <w:noWrap/>
            <w:vAlign w:val="center"/>
            <w:hideMark/>
          </w:tcPr>
          <w:p w14:paraId="626DB85A"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2,850</w:t>
            </w:r>
          </w:p>
        </w:tc>
        <w:tc>
          <w:tcPr>
            <w:tcW w:w="687" w:type="pct"/>
            <w:tcBorders>
              <w:top w:val="nil"/>
              <w:left w:val="nil"/>
              <w:bottom w:val="nil"/>
              <w:right w:val="nil"/>
            </w:tcBorders>
            <w:shd w:val="clear" w:color="auto" w:fill="auto"/>
            <w:noWrap/>
            <w:vAlign w:val="center"/>
            <w:hideMark/>
          </w:tcPr>
          <w:p w14:paraId="264643E4"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19.8</w:t>
            </w:r>
          </w:p>
        </w:tc>
      </w:tr>
      <w:tr w:rsidR="00AA3481" w:rsidRPr="00AA3481" w14:paraId="1A9164AC" w14:textId="77777777" w:rsidTr="00AA3481">
        <w:trPr>
          <w:divId w:val="1651399002"/>
          <w:trHeight w:hRule="exact" w:val="226"/>
        </w:trPr>
        <w:tc>
          <w:tcPr>
            <w:tcW w:w="2144" w:type="pct"/>
            <w:tcBorders>
              <w:top w:val="nil"/>
              <w:left w:val="nil"/>
              <w:bottom w:val="single" w:sz="4" w:space="0" w:color="293F5B"/>
              <w:right w:val="nil"/>
            </w:tcBorders>
            <w:shd w:val="clear" w:color="auto" w:fill="auto"/>
            <w:noWrap/>
            <w:vAlign w:val="center"/>
            <w:hideMark/>
          </w:tcPr>
          <w:p w14:paraId="5CE51E47" w14:textId="77777777" w:rsidR="00AA3481" w:rsidRPr="00CB3EC8" w:rsidRDefault="00AA3481" w:rsidP="00AA3481">
            <w:pPr>
              <w:spacing w:before="0" w:after="0" w:line="240" w:lineRule="auto"/>
              <w:ind w:left="170"/>
              <w:rPr>
                <w:rFonts w:ascii="Arial" w:hAnsi="Arial" w:cs="Arial"/>
                <w:i/>
                <w:iCs/>
                <w:sz w:val="16"/>
                <w:szCs w:val="16"/>
              </w:rPr>
            </w:pPr>
            <w:r w:rsidRPr="00CB3EC8">
              <w:rPr>
                <w:rFonts w:ascii="Arial" w:hAnsi="Arial" w:cs="Arial"/>
                <w:i/>
                <w:iCs/>
                <w:sz w:val="16"/>
                <w:szCs w:val="16"/>
              </w:rPr>
              <w:t>Capital gains tax(c)</w:t>
            </w:r>
          </w:p>
        </w:tc>
        <w:tc>
          <w:tcPr>
            <w:tcW w:w="745" w:type="pct"/>
            <w:tcBorders>
              <w:top w:val="nil"/>
              <w:left w:val="nil"/>
              <w:bottom w:val="single" w:sz="4" w:space="0" w:color="293F5B"/>
              <w:right w:val="nil"/>
            </w:tcBorders>
            <w:shd w:val="clear" w:color="000000" w:fill="FFFFFF"/>
            <w:noWrap/>
            <w:vAlign w:val="center"/>
            <w:hideMark/>
          </w:tcPr>
          <w:p w14:paraId="5CC77636"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21,300</w:t>
            </w:r>
          </w:p>
        </w:tc>
        <w:tc>
          <w:tcPr>
            <w:tcW w:w="689" w:type="pct"/>
            <w:tcBorders>
              <w:top w:val="nil"/>
              <w:left w:val="nil"/>
              <w:bottom w:val="single" w:sz="4" w:space="0" w:color="293F5B"/>
              <w:right w:val="nil"/>
            </w:tcBorders>
            <w:shd w:val="clear" w:color="000000" w:fill="E6F2FF"/>
            <w:noWrap/>
            <w:vAlign w:val="center"/>
            <w:hideMark/>
          </w:tcPr>
          <w:p w14:paraId="6B0EEF73"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23,200</w:t>
            </w:r>
          </w:p>
        </w:tc>
        <w:tc>
          <w:tcPr>
            <w:tcW w:w="47" w:type="pct"/>
            <w:tcBorders>
              <w:top w:val="nil"/>
              <w:left w:val="nil"/>
              <w:bottom w:val="single" w:sz="4" w:space="0" w:color="293F5B"/>
              <w:right w:val="nil"/>
            </w:tcBorders>
            <w:shd w:val="clear" w:color="auto" w:fill="auto"/>
            <w:noWrap/>
            <w:vAlign w:val="center"/>
            <w:hideMark/>
          </w:tcPr>
          <w:p w14:paraId="3704F5F4"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 </w:t>
            </w:r>
          </w:p>
        </w:tc>
        <w:tc>
          <w:tcPr>
            <w:tcW w:w="687" w:type="pct"/>
            <w:tcBorders>
              <w:top w:val="nil"/>
              <w:left w:val="nil"/>
              <w:bottom w:val="single" w:sz="4" w:space="0" w:color="293F5B"/>
              <w:right w:val="nil"/>
            </w:tcBorders>
            <w:shd w:val="clear" w:color="auto" w:fill="auto"/>
            <w:noWrap/>
            <w:vAlign w:val="center"/>
            <w:hideMark/>
          </w:tcPr>
          <w:p w14:paraId="545C7020" w14:textId="77777777" w:rsidR="00AA3481" w:rsidRPr="00CB3EC8"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1,900</w:t>
            </w:r>
          </w:p>
        </w:tc>
        <w:tc>
          <w:tcPr>
            <w:tcW w:w="687" w:type="pct"/>
            <w:tcBorders>
              <w:top w:val="nil"/>
              <w:left w:val="nil"/>
              <w:bottom w:val="single" w:sz="4" w:space="0" w:color="293F5B"/>
              <w:right w:val="nil"/>
            </w:tcBorders>
            <w:shd w:val="clear" w:color="auto" w:fill="auto"/>
            <w:noWrap/>
            <w:vAlign w:val="center"/>
            <w:hideMark/>
          </w:tcPr>
          <w:p w14:paraId="79465756" w14:textId="77777777" w:rsidR="00AA3481" w:rsidRPr="00AA3481" w:rsidRDefault="00AA3481" w:rsidP="00AA3481">
            <w:pPr>
              <w:spacing w:before="0" w:after="0" w:line="240" w:lineRule="auto"/>
              <w:jc w:val="right"/>
              <w:rPr>
                <w:rFonts w:ascii="Arial" w:hAnsi="Arial" w:cs="Arial"/>
                <w:i/>
                <w:iCs/>
                <w:sz w:val="16"/>
                <w:szCs w:val="16"/>
              </w:rPr>
            </w:pPr>
            <w:r w:rsidRPr="00CB3EC8">
              <w:rPr>
                <w:rFonts w:ascii="Arial" w:hAnsi="Arial" w:cs="Arial"/>
                <w:i/>
                <w:iCs/>
                <w:sz w:val="16"/>
                <w:szCs w:val="16"/>
              </w:rPr>
              <w:t>8.9</w:t>
            </w:r>
          </w:p>
        </w:tc>
      </w:tr>
    </w:tbl>
    <w:p w14:paraId="0DA733A8" w14:textId="3FB51076" w:rsidR="005502C4" w:rsidRPr="00966BD4" w:rsidRDefault="001B77CF" w:rsidP="00526547">
      <w:pPr>
        <w:pStyle w:val="ChartandTableFootnoteAlpha"/>
        <w:numPr>
          <w:ilvl w:val="0"/>
          <w:numId w:val="32"/>
        </w:numPr>
        <w:rPr>
          <w:rFonts w:eastAsiaTheme="minorHAnsi"/>
          <w:color w:val="auto"/>
        </w:rPr>
      </w:pPr>
      <w:r>
        <w:rPr>
          <w:color w:val="auto"/>
        </w:rPr>
        <w:t>‘</w:t>
      </w:r>
      <w:r w:rsidR="005502C4" w:rsidRPr="00966BD4">
        <w:rPr>
          <w:color w:val="auto"/>
        </w:rPr>
        <w:t>Other alcoholic beverages</w:t>
      </w:r>
      <w:r>
        <w:rPr>
          <w:color w:val="auto"/>
        </w:rPr>
        <w:t>’</w:t>
      </w:r>
      <w:r w:rsidR="005502C4" w:rsidRPr="00966BD4">
        <w:rPr>
          <w:color w:val="auto"/>
        </w:rPr>
        <w:t xml:space="preserve"> are those not exceeding 10 per cent by volume of alcohol (excluding beer, brandy and wine). </w:t>
      </w:r>
    </w:p>
    <w:p w14:paraId="62755A51" w14:textId="32A1456E" w:rsidR="005502C4" w:rsidRPr="00966BD4" w:rsidRDefault="00691BF2" w:rsidP="006B789B">
      <w:pPr>
        <w:pStyle w:val="ChartandTableFootnoteAlpha"/>
        <w:spacing w:before="0"/>
        <w:rPr>
          <w:color w:val="auto"/>
        </w:rPr>
      </w:pPr>
      <w:r w:rsidRPr="00966BD4">
        <w:rPr>
          <w:color w:val="auto"/>
        </w:rPr>
        <w:t>Prior to the 202</w:t>
      </w:r>
      <w:r w:rsidR="00825B55" w:rsidRPr="00966BD4">
        <w:rPr>
          <w:color w:val="auto"/>
        </w:rPr>
        <w:t>2–2</w:t>
      </w:r>
      <w:r w:rsidRPr="00966BD4">
        <w:rPr>
          <w:color w:val="auto"/>
        </w:rPr>
        <w:t xml:space="preserve">3 October Budget, </w:t>
      </w:r>
      <w:r w:rsidR="001B77CF">
        <w:rPr>
          <w:color w:val="auto"/>
        </w:rPr>
        <w:t>‘</w:t>
      </w:r>
      <w:r w:rsidRPr="00966BD4">
        <w:rPr>
          <w:color w:val="auto"/>
        </w:rPr>
        <w:t>v</w:t>
      </w:r>
      <w:r w:rsidR="005502C4" w:rsidRPr="00966BD4">
        <w:rPr>
          <w:color w:val="auto"/>
        </w:rPr>
        <w:t>isa application charges</w:t>
      </w:r>
      <w:r w:rsidR="001B77CF">
        <w:rPr>
          <w:color w:val="auto"/>
        </w:rPr>
        <w:t>’</w:t>
      </w:r>
      <w:r w:rsidR="005502C4" w:rsidRPr="00966BD4">
        <w:rPr>
          <w:color w:val="auto"/>
        </w:rPr>
        <w:t xml:space="preserve"> were previously included in </w:t>
      </w:r>
      <w:r w:rsidR="001B77CF">
        <w:rPr>
          <w:color w:val="auto"/>
        </w:rPr>
        <w:t>‘</w:t>
      </w:r>
      <w:r w:rsidR="005502C4" w:rsidRPr="00966BD4">
        <w:rPr>
          <w:color w:val="auto"/>
        </w:rPr>
        <w:t xml:space="preserve">other </w:t>
      </w:r>
      <w:proofErr w:type="gramStart"/>
      <w:r w:rsidR="005502C4" w:rsidRPr="00966BD4">
        <w:rPr>
          <w:color w:val="auto"/>
        </w:rPr>
        <w:t>taxes</w:t>
      </w:r>
      <w:r w:rsidR="001B77CF">
        <w:rPr>
          <w:color w:val="auto"/>
        </w:rPr>
        <w:t>’</w:t>
      </w:r>
      <w:proofErr w:type="gramEnd"/>
      <w:r w:rsidR="005502C4" w:rsidRPr="00966BD4">
        <w:rPr>
          <w:color w:val="auto"/>
        </w:rPr>
        <w:t xml:space="preserve">. </w:t>
      </w:r>
    </w:p>
    <w:p w14:paraId="4502FF30" w14:textId="6EE93686" w:rsidR="00D907F8" w:rsidRPr="00966BD4" w:rsidRDefault="001B77CF" w:rsidP="006B789B">
      <w:pPr>
        <w:pStyle w:val="ChartandTableFootnoteAlpha"/>
        <w:pBdr>
          <w:bottom w:val="single" w:sz="4" w:space="1" w:color="auto"/>
        </w:pBdr>
        <w:spacing w:before="0"/>
        <w:rPr>
          <w:color w:val="auto"/>
        </w:rPr>
      </w:pPr>
      <w:r>
        <w:rPr>
          <w:color w:val="auto"/>
        </w:rPr>
        <w:t>‘</w:t>
      </w:r>
      <w:r w:rsidR="006F050A" w:rsidRPr="00966BD4">
        <w:rPr>
          <w:color w:val="auto"/>
        </w:rPr>
        <w:t>Capital</w:t>
      </w:r>
      <w:r w:rsidR="00D907F8" w:rsidRPr="00966BD4">
        <w:rPr>
          <w:color w:val="auto"/>
        </w:rPr>
        <w:t xml:space="preserve"> gains </w:t>
      </w:r>
      <w:r w:rsidR="006F050A" w:rsidRPr="00966BD4">
        <w:rPr>
          <w:color w:val="auto"/>
        </w:rPr>
        <w:t>tax</w:t>
      </w:r>
      <w:r>
        <w:rPr>
          <w:color w:val="auto"/>
        </w:rPr>
        <w:t>’</w:t>
      </w:r>
      <w:r w:rsidR="00D907F8" w:rsidRPr="00966BD4">
        <w:rPr>
          <w:color w:val="auto"/>
        </w:rPr>
        <w:t xml:space="preserve"> is part of gross other individuals, company tax and superannuation fund taxes.</w:t>
      </w:r>
    </w:p>
    <w:p w14:paraId="1F04AD74" w14:textId="6F8D074D" w:rsidR="00D907F8" w:rsidRPr="00966BD4" w:rsidRDefault="00D907F8" w:rsidP="00AD2BDF">
      <w:pPr>
        <w:pStyle w:val="Heading2"/>
      </w:pPr>
      <w:r w:rsidRPr="00E0267E">
        <w:br w:type="page"/>
      </w:r>
      <w:bookmarkStart w:id="46" w:name="_Toc134182351"/>
      <w:r w:rsidRPr="00966BD4">
        <w:lastRenderedPageBreak/>
        <w:t>Appendix A: Tax Expenditures</w:t>
      </w:r>
      <w:bookmarkEnd w:id="46"/>
    </w:p>
    <w:p w14:paraId="117F0CE4" w14:textId="77777777" w:rsidR="007073A9" w:rsidRPr="00966BD4" w:rsidRDefault="00D907F8" w:rsidP="00774E24">
      <w:r w:rsidRPr="00966BD4">
        <w:t xml:space="preserve">This appendix contains an overview of Australian Government tax expenditures. Section 12 of the </w:t>
      </w:r>
      <w:r w:rsidRPr="00966BD4">
        <w:rPr>
          <w:i/>
        </w:rPr>
        <w:t>Charter of Budget Honesty Act 1998</w:t>
      </w:r>
      <w:r w:rsidRPr="00966BD4">
        <w:t xml:space="preserve"> (CBHA) requires the publication of an overview of estimated tax expenditures. </w:t>
      </w:r>
    </w:p>
    <w:p w14:paraId="521E40D2" w14:textId="0FAA2CAE" w:rsidR="00D907F8" w:rsidRPr="00966BD4" w:rsidRDefault="00D907F8" w:rsidP="00774E24">
      <w:r w:rsidRPr="00966BD4">
        <w:t>The Government publish</w:t>
      </w:r>
      <w:r w:rsidR="00434018" w:rsidRPr="00966BD4">
        <w:t>ed</w:t>
      </w:r>
      <w:r w:rsidRPr="00966BD4">
        <w:t xml:space="preserve"> an</w:t>
      </w:r>
      <w:r w:rsidR="004876FC" w:rsidRPr="00966BD4">
        <w:t xml:space="preserve"> </w:t>
      </w:r>
      <w:r w:rsidRPr="00966BD4">
        <w:t>enhanced Tax Expenditures</w:t>
      </w:r>
      <w:r w:rsidR="00434018" w:rsidRPr="00966BD4">
        <w:t xml:space="preserve"> and Insights</w:t>
      </w:r>
      <w:r w:rsidRPr="00966BD4">
        <w:t xml:space="preserve"> Statement </w:t>
      </w:r>
      <w:r w:rsidR="00914301" w:rsidRPr="00966BD4">
        <w:t>(TEIS)</w:t>
      </w:r>
      <w:r w:rsidRPr="00966BD4">
        <w:t xml:space="preserve"> </w:t>
      </w:r>
      <w:r w:rsidR="00150678" w:rsidRPr="00966BD4">
        <w:t>o</w:t>
      </w:r>
      <w:r w:rsidRPr="00966BD4">
        <w:t xml:space="preserve">n </w:t>
      </w:r>
      <w:r w:rsidR="00277CCC" w:rsidRPr="00966BD4">
        <w:t xml:space="preserve">28 </w:t>
      </w:r>
      <w:r w:rsidR="00376633" w:rsidRPr="00966BD4">
        <w:t>February 2023</w:t>
      </w:r>
      <w:r w:rsidRPr="00966BD4">
        <w:t>.</w:t>
      </w:r>
      <w:r w:rsidR="007073A9" w:rsidRPr="00966BD4">
        <w:t xml:space="preserve"> The TEIS provides </w:t>
      </w:r>
      <w:r w:rsidR="00CB14D0" w:rsidRPr="00966BD4">
        <w:t xml:space="preserve">an </w:t>
      </w:r>
      <w:r w:rsidR="007073A9" w:rsidRPr="00966BD4">
        <w:t xml:space="preserve">estimate of the revenue forgone from tax expenditures, along with distributional analysis on large tax expenditures and commonly utilised features of the tax system. </w:t>
      </w:r>
    </w:p>
    <w:p w14:paraId="6DA9A8C1" w14:textId="77777777" w:rsidR="00D907F8" w:rsidRPr="00966BD4" w:rsidRDefault="00D907F8" w:rsidP="00774E24">
      <w:r w:rsidRPr="00966BD4">
        <w:t>Tax benchmarks represent a standard tax treatment that applies to similar taxpayers or types of activities. Policy approaches can apply a tax treatment different from a standard approach, which can give rise to positive or negative tax expenditures. The choice of benchmark unavoidably involves judgment and may therefore be contentious in some cases.</w:t>
      </w:r>
    </w:p>
    <w:p w14:paraId="20BBE69B" w14:textId="575BD91A" w:rsidR="00D907F8" w:rsidRPr="00966BD4" w:rsidRDefault="00D907F8" w:rsidP="00774E24">
      <w:r w:rsidRPr="00966BD4">
        <w:t xml:space="preserve">Consistent with most OECD countries, estimates of tax expenditures reflect the extent to which a variation is utilised, </w:t>
      </w:r>
      <w:proofErr w:type="gramStart"/>
      <w:r w:rsidRPr="00966BD4">
        <w:t>similar to</w:t>
      </w:r>
      <w:proofErr w:type="gramEnd"/>
      <w:r w:rsidRPr="00966BD4">
        <w:t xml:space="preserve"> Budget estimates of outlays on demand</w:t>
      </w:r>
      <w:r w:rsidR="001B77CF">
        <w:noBreakHyphen/>
      </w:r>
      <w:r w:rsidRPr="00966BD4">
        <w:t xml:space="preserve">driven expenditure programs. This is known as the </w:t>
      </w:r>
      <w:r w:rsidR="001B77CF">
        <w:t>‘</w:t>
      </w:r>
      <w:r w:rsidRPr="00966BD4">
        <w:t>revenue forgone</w:t>
      </w:r>
      <w:r w:rsidR="001B77CF">
        <w:t>’</w:t>
      </w:r>
      <w:r w:rsidRPr="00966BD4">
        <w:t xml:space="preserve"> approach which, in practice, involves estimating the difference in revenue between the actual and benchmark tax treatments but, importantly, assuming taxpayer behaviour is the same in each circumstance. Revenue forgone estimates therefore do not indicate the revenue gain to the Budget if a specific tax expenditure was abolished through policy change, as there may be significant changes in taxpayer behaviour.</w:t>
      </w:r>
    </w:p>
    <w:p w14:paraId="638A90C3" w14:textId="77777777" w:rsidR="00D907F8" w:rsidRPr="00966BD4" w:rsidRDefault="00D907F8" w:rsidP="00774E24">
      <w:r w:rsidRPr="00966BD4">
        <w:t>Care needs to be taken when comparing tax expenditures with direct expenditures as they may measure different things. In addition, estimates from different editions of previously released Statements are generally not directly comparable, because of changes or modifications to – for example – benchmarks, individual tax expenditures, data used or modelling methodology.</w:t>
      </w:r>
    </w:p>
    <w:p w14:paraId="55E07B7B" w14:textId="77777777" w:rsidR="00D907F8" w:rsidRPr="00966BD4" w:rsidRDefault="00D907F8" w:rsidP="00774E24">
      <w:r w:rsidRPr="00966BD4">
        <w:t>The information in Table A.1 is derived from the 202</w:t>
      </w:r>
      <w:r w:rsidR="00F46B2A" w:rsidRPr="00966BD4">
        <w:t>2</w:t>
      </w:r>
      <w:r w:rsidR="00971F6C" w:rsidRPr="00966BD4">
        <w:t>–</w:t>
      </w:r>
      <w:r w:rsidR="00F46B2A" w:rsidRPr="00966BD4">
        <w:t>2</w:t>
      </w:r>
      <w:r w:rsidR="00914301" w:rsidRPr="00966BD4">
        <w:t>3</w:t>
      </w:r>
      <w:r w:rsidRPr="00966BD4">
        <w:t xml:space="preserve"> </w:t>
      </w:r>
      <w:r w:rsidR="00747176" w:rsidRPr="00966BD4">
        <w:t>TEIS</w:t>
      </w:r>
      <w:r w:rsidRPr="00966BD4">
        <w:t>, based on economic parameters as at the publication of the 202</w:t>
      </w:r>
      <w:r w:rsidR="00BF5A72" w:rsidRPr="00966BD4">
        <w:t>2</w:t>
      </w:r>
      <w:r w:rsidRPr="00966BD4">
        <w:t>–2</w:t>
      </w:r>
      <w:r w:rsidR="00BF5A72" w:rsidRPr="00966BD4">
        <w:t>3</w:t>
      </w:r>
      <w:r w:rsidRPr="00966BD4">
        <w:t> </w:t>
      </w:r>
      <w:r w:rsidR="00BF5A72" w:rsidRPr="00966BD4">
        <w:t>October Budget</w:t>
      </w:r>
      <w:r w:rsidRPr="00966BD4">
        <w:t xml:space="preserve">. It does not include the impact of policy decisions, or changes in the economic outlook since then on </w:t>
      </w:r>
      <w:r w:rsidR="001B300E" w:rsidRPr="00966BD4">
        <w:t>tax expenditures</w:t>
      </w:r>
      <w:r w:rsidRPr="00966BD4">
        <w:t xml:space="preserve">. </w:t>
      </w:r>
      <w:r w:rsidR="005472B8" w:rsidRPr="00966BD4">
        <w:t>The TEIS is not a statement of policy intent. The information and analysis presented in the TEIS and Table A.1 is intended to increase transparency about the impacts of tax expenditures and other features of the tax system.</w:t>
      </w:r>
    </w:p>
    <w:p w14:paraId="1FEDF414" w14:textId="77777777" w:rsidR="005B6D61" w:rsidRPr="00966BD4" w:rsidRDefault="005B6D61" w:rsidP="00774E24">
      <w:pPr>
        <w:rPr>
          <w:rFonts w:ascii="Arial Bold" w:hAnsi="Arial Bold"/>
          <w:sz w:val="20"/>
        </w:rPr>
      </w:pPr>
      <w:r w:rsidRPr="00966BD4">
        <w:br w:type="page"/>
      </w:r>
    </w:p>
    <w:p w14:paraId="081FAB35" w14:textId="21366B0A" w:rsidR="00335093" w:rsidRPr="00966BD4" w:rsidRDefault="00144AD9" w:rsidP="00335093">
      <w:pPr>
        <w:pStyle w:val="TableHeading"/>
        <w:rPr>
          <w:rFonts w:asciiTheme="minorHAnsi" w:eastAsiaTheme="minorHAnsi" w:hAnsiTheme="minorHAnsi" w:cstheme="minorBidi"/>
          <w:sz w:val="22"/>
          <w:szCs w:val="22"/>
          <w:lang w:eastAsia="en-US"/>
        </w:rPr>
      </w:pPr>
      <w:r w:rsidRPr="00966BD4">
        <w:lastRenderedPageBreak/>
        <w:t xml:space="preserve">Table A.1: Estimates of </w:t>
      </w:r>
      <w:proofErr w:type="gramStart"/>
      <w:r w:rsidRPr="00966BD4">
        <w:t>large measured</w:t>
      </w:r>
      <w:proofErr w:type="gramEnd"/>
      <w:r w:rsidRPr="00966BD4">
        <w:t xml:space="preserve"> tax expenditures</w:t>
      </w:r>
    </w:p>
    <w:tbl>
      <w:tblPr>
        <w:tblW w:w="5000" w:type="pct"/>
        <w:tblCellMar>
          <w:left w:w="0" w:type="dxa"/>
          <w:right w:w="28" w:type="dxa"/>
        </w:tblCellMar>
        <w:tblLook w:val="04A0" w:firstRow="1" w:lastRow="0" w:firstColumn="1" w:lastColumn="0" w:noHBand="0" w:noVBand="1"/>
      </w:tblPr>
      <w:tblGrid>
        <w:gridCol w:w="964"/>
        <w:gridCol w:w="530"/>
        <w:gridCol w:w="3638"/>
        <w:gridCol w:w="874"/>
        <w:gridCol w:w="831"/>
        <w:gridCol w:w="873"/>
      </w:tblGrid>
      <w:tr w:rsidR="00335093" w:rsidRPr="00966BD4" w14:paraId="502CE1EA" w14:textId="77777777" w:rsidTr="00335093">
        <w:trPr>
          <w:trHeight w:hRule="exact" w:val="1125"/>
        </w:trPr>
        <w:tc>
          <w:tcPr>
            <w:tcW w:w="625" w:type="pct"/>
            <w:tcBorders>
              <w:top w:val="single" w:sz="4" w:space="0" w:color="auto"/>
              <w:left w:val="nil"/>
              <w:bottom w:val="single" w:sz="4" w:space="0" w:color="auto"/>
              <w:right w:val="nil"/>
            </w:tcBorders>
            <w:shd w:val="clear" w:color="auto" w:fill="auto"/>
            <w:vAlign w:val="bottom"/>
            <w:hideMark/>
          </w:tcPr>
          <w:p w14:paraId="1436C5E6" w14:textId="3D4B2D8F"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Tax type affected</w:t>
            </w:r>
          </w:p>
        </w:tc>
        <w:tc>
          <w:tcPr>
            <w:tcW w:w="344" w:type="pct"/>
            <w:tcBorders>
              <w:top w:val="single" w:sz="4" w:space="0" w:color="auto"/>
              <w:left w:val="nil"/>
              <w:bottom w:val="single" w:sz="4" w:space="0" w:color="auto"/>
              <w:right w:val="nil"/>
            </w:tcBorders>
            <w:shd w:val="clear" w:color="auto" w:fill="auto"/>
            <w:noWrap/>
            <w:vAlign w:val="bottom"/>
            <w:hideMark/>
          </w:tcPr>
          <w:p w14:paraId="1452CB8B" w14:textId="77777777"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Code</w:t>
            </w:r>
          </w:p>
        </w:tc>
        <w:tc>
          <w:tcPr>
            <w:tcW w:w="2358" w:type="pct"/>
            <w:tcBorders>
              <w:top w:val="single" w:sz="4" w:space="0" w:color="auto"/>
              <w:left w:val="nil"/>
              <w:bottom w:val="single" w:sz="4" w:space="0" w:color="auto"/>
              <w:right w:val="nil"/>
            </w:tcBorders>
            <w:shd w:val="clear" w:color="auto" w:fill="auto"/>
            <w:noWrap/>
            <w:vAlign w:val="bottom"/>
            <w:hideMark/>
          </w:tcPr>
          <w:p w14:paraId="475755CF" w14:textId="77777777"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Title</w:t>
            </w:r>
          </w:p>
        </w:tc>
        <w:tc>
          <w:tcPr>
            <w:tcW w:w="567" w:type="pct"/>
            <w:tcBorders>
              <w:top w:val="single" w:sz="4" w:space="0" w:color="auto"/>
              <w:left w:val="nil"/>
              <w:bottom w:val="single" w:sz="4" w:space="0" w:color="auto"/>
              <w:right w:val="nil"/>
            </w:tcBorders>
            <w:shd w:val="clear" w:color="auto" w:fill="auto"/>
            <w:vAlign w:val="bottom"/>
            <w:hideMark/>
          </w:tcPr>
          <w:p w14:paraId="7C83B685" w14:textId="19A45624"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Revenue forgone 2022</w:t>
            </w:r>
            <w:r w:rsidR="001B77CF">
              <w:rPr>
                <w:rFonts w:ascii="Arial" w:hAnsi="Arial" w:cs="Arial"/>
                <w:b/>
                <w:sz w:val="16"/>
                <w:szCs w:val="16"/>
              </w:rPr>
              <w:noBreakHyphen/>
            </w:r>
            <w:r w:rsidRPr="00966BD4">
              <w:rPr>
                <w:rFonts w:ascii="Arial" w:hAnsi="Arial" w:cs="Arial"/>
                <w:b/>
                <w:sz w:val="16"/>
                <w:szCs w:val="16"/>
              </w:rPr>
              <w:t>23* ($m)</w:t>
            </w:r>
          </w:p>
        </w:tc>
        <w:tc>
          <w:tcPr>
            <w:tcW w:w="539" w:type="pct"/>
            <w:tcBorders>
              <w:top w:val="single" w:sz="4" w:space="0" w:color="auto"/>
              <w:left w:val="nil"/>
              <w:bottom w:val="single" w:sz="4" w:space="0" w:color="auto"/>
              <w:right w:val="nil"/>
            </w:tcBorders>
            <w:shd w:val="clear" w:color="auto" w:fill="auto"/>
            <w:vAlign w:val="bottom"/>
            <w:hideMark/>
          </w:tcPr>
          <w:p w14:paraId="63FE01BA" w14:textId="68EA1786"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Average growth</w:t>
            </w:r>
            <w:r w:rsidR="001B77CF">
              <w:rPr>
                <w:rFonts w:ascii="Arial" w:hAnsi="Arial" w:cs="Arial"/>
                <w:b/>
                <w:sz w:val="16"/>
                <w:szCs w:val="16"/>
              </w:rPr>
              <w:t xml:space="preserve"> – </w:t>
            </w:r>
            <w:r w:rsidRPr="00966BD4">
              <w:rPr>
                <w:rFonts w:ascii="Arial" w:hAnsi="Arial" w:cs="Arial"/>
                <w:b/>
                <w:sz w:val="16"/>
                <w:szCs w:val="16"/>
              </w:rPr>
              <w:t>2018</w:t>
            </w:r>
            <w:r w:rsidR="001B77CF">
              <w:rPr>
                <w:rFonts w:ascii="Arial" w:hAnsi="Arial" w:cs="Arial"/>
                <w:b/>
                <w:sz w:val="16"/>
                <w:szCs w:val="16"/>
              </w:rPr>
              <w:noBreakHyphen/>
            </w:r>
            <w:r w:rsidRPr="00966BD4">
              <w:rPr>
                <w:rFonts w:ascii="Arial" w:hAnsi="Arial" w:cs="Arial"/>
                <w:b/>
                <w:sz w:val="16"/>
                <w:szCs w:val="16"/>
              </w:rPr>
              <w:t>19 to 2021</w:t>
            </w:r>
            <w:r w:rsidR="001B77CF">
              <w:rPr>
                <w:rFonts w:ascii="Arial" w:hAnsi="Arial" w:cs="Arial"/>
                <w:b/>
                <w:sz w:val="16"/>
                <w:szCs w:val="16"/>
              </w:rPr>
              <w:noBreakHyphen/>
            </w:r>
            <w:r w:rsidRPr="00966BD4">
              <w:rPr>
                <w:rFonts w:ascii="Arial" w:hAnsi="Arial" w:cs="Arial"/>
                <w:b/>
                <w:sz w:val="16"/>
                <w:szCs w:val="16"/>
              </w:rPr>
              <w:t>22 (%)</w:t>
            </w:r>
          </w:p>
        </w:tc>
        <w:tc>
          <w:tcPr>
            <w:tcW w:w="567" w:type="pct"/>
            <w:tcBorders>
              <w:top w:val="single" w:sz="4" w:space="0" w:color="auto"/>
              <w:left w:val="nil"/>
              <w:bottom w:val="single" w:sz="4" w:space="0" w:color="auto"/>
              <w:right w:val="nil"/>
            </w:tcBorders>
            <w:shd w:val="clear" w:color="auto" w:fill="auto"/>
            <w:vAlign w:val="bottom"/>
            <w:hideMark/>
          </w:tcPr>
          <w:p w14:paraId="22952EB0" w14:textId="77777777"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Average growth over FEs (%)</w:t>
            </w:r>
          </w:p>
        </w:tc>
      </w:tr>
      <w:tr w:rsidR="00335093" w:rsidRPr="00966BD4" w14:paraId="376C461B" w14:textId="77777777" w:rsidTr="00335093">
        <w:trPr>
          <w:trHeight w:hRule="exact" w:val="225"/>
        </w:trPr>
        <w:tc>
          <w:tcPr>
            <w:tcW w:w="625" w:type="pct"/>
            <w:tcBorders>
              <w:top w:val="nil"/>
              <w:left w:val="nil"/>
              <w:bottom w:val="nil"/>
              <w:right w:val="nil"/>
            </w:tcBorders>
            <w:shd w:val="clear" w:color="auto" w:fill="auto"/>
            <w:noWrap/>
            <w:vAlign w:val="bottom"/>
            <w:hideMark/>
          </w:tcPr>
          <w:p w14:paraId="64E3AEE3" w14:textId="77777777" w:rsidR="00335093" w:rsidRPr="00966BD4" w:rsidRDefault="00335093" w:rsidP="00335093">
            <w:pPr>
              <w:spacing w:before="0" w:after="0" w:line="240" w:lineRule="auto"/>
              <w:rPr>
                <w:rFonts w:ascii="Arial" w:hAnsi="Arial" w:cs="Arial"/>
                <w:b/>
                <w:sz w:val="16"/>
                <w:szCs w:val="16"/>
              </w:rPr>
            </w:pPr>
          </w:p>
        </w:tc>
        <w:tc>
          <w:tcPr>
            <w:tcW w:w="2703" w:type="pct"/>
            <w:gridSpan w:val="2"/>
            <w:tcBorders>
              <w:top w:val="nil"/>
              <w:left w:val="nil"/>
              <w:bottom w:val="nil"/>
              <w:right w:val="nil"/>
            </w:tcBorders>
            <w:shd w:val="clear" w:color="auto" w:fill="auto"/>
            <w:noWrap/>
            <w:vAlign w:val="bottom"/>
            <w:hideMark/>
          </w:tcPr>
          <w:p w14:paraId="0DB9355A" w14:textId="77777777" w:rsidR="00335093" w:rsidRPr="00966BD4" w:rsidRDefault="00335093" w:rsidP="00335093">
            <w:pPr>
              <w:spacing w:before="0" w:after="0" w:line="240" w:lineRule="auto"/>
              <w:rPr>
                <w:rFonts w:ascii="Arial" w:hAnsi="Arial" w:cs="Arial"/>
                <w:b/>
                <w:sz w:val="16"/>
                <w:szCs w:val="16"/>
              </w:rPr>
            </w:pPr>
            <w:r w:rsidRPr="00966BD4">
              <w:rPr>
                <w:rFonts w:ascii="Arial" w:hAnsi="Arial" w:cs="Arial"/>
                <w:b/>
                <w:sz w:val="16"/>
                <w:szCs w:val="16"/>
              </w:rPr>
              <w:t>Positive tax expenditures and deductions</w:t>
            </w:r>
          </w:p>
        </w:tc>
        <w:tc>
          <w:tcPr>
            <w:tcW w:w="567" w:type="pct"/>
            <w:tcBorders>
              <w:top w:val="nil"/>
              <w:left w:val="nil"/>
              <w:bottom w:val="nil"/>
              <w:right w:val="nil"/>
            </w:tcBorders>
            <w:shd w:val="clear" w:color="auto" w:fill="auto"/>
            <w:vAlign w:val="bottom"/>
            <w:hideMark/>
          </w:tcPr>
          <w:p w14:paraId="15406CFA" w14:textId="77777777" w:rsidR="00335093" w:rsidRPr="00966BD4" w:rsidRDefault="00335093" w:rsidP="00335093">
            <w:pPr>
              <w:spacing w:before="0" w:after="0" w:line="240" w:lineRule="auto"/>
              <w:rPr>
                <w:rFonts w:ascii="Arial" w:hAnsi="Arial" w:cs="Arial"/>
                <w:b/>
                <w:sz w:val="16"/>
                <w:szCs w:val="16"/>
              </w:rPr>
            </w:pPr>
          </w:p>
        </w:tc>
        <w:tc>
          <w:tcPr>
            <w:tcW w:w="539" w:type="pct"/>
            <w:tcBorders>
              <w:top w:val="nil"/>
              <w:left w:val="nil"/>
              <w:bottom w:val="nil"/>
              <w:right w:val="nil"/>
            </w:tcBorders>
            <w:shd w:val="clear" w:color="auto" w:fill="auto"/>
            <w:vAlign w:val="bottom"/>
            <w:hideMark/>
          </w:tcPr>
          <w:p w14:paraId="63A17DE6" w14:textId="77777777" w:rsidR="00335093" w:rsidRPr="00966BD4" w:rsidRDefault="00335093" w:rsidP="00335093">
            <w:pPr>
              <w:spacing w:before="0" w:after="0" w:line="240" w:lineRule="auto"/>
              <w:rPr>
                <w:rFonts w:ascii="Times New Roman" w:hAnsi="Times New Roman"/>
                <w:sz w:val="20"/>
              </w:rPr>
            </w:pPr>
          </w:p>
        </w:tc>
        <w:tc>
          <w:tcPr>
            <w:tcW w:w="567" w:type="pct"/>
            <w:tcBorders>
              <w:top w:val="nil"/>
              <w:left w:val="nil"/>
              <w:bottom w:val="nil"/>
              <w:right w:val="nil"/>
            </w:tcBorders>
            <w:shd w:val="clear" w:color="auto" w:fill="auto"/>
            <w:vAlign w:val="bottom"/>
            <w:hideMark/>
          </w:tcPr>
          <w:p w14:paraId="4567BA8B" w14:textId="77777777" w:rsidR="00335093" w:rsidRPr="00966BD4" w:rsidRDefault="00335093" w:rsidP="00335093">
            <w:pPr>
              <w:spacing w:before="0" w:after="0" w:line="240" w:lineRule="auto"/>
              <w:rPr>
                <w:rFonts w:ascii="Times New Roman" w:hAnsi="Times New Roman"/>
                <w:sz w:val="20"/>
              </w:rPr>
            </w:pPr>
          </w:p>
        </w:tc>
      </w:tr>
      <w:tr w:rsidR="00335093" w:rsidRPr="00966BD4" w14:paraId="5263018B" w14:textId="77777777" w:rsidTr="00335093">
        <w:trPr>
          <w:trHeight w:hRule="exact" w:val="225"/>
        </w:trPr>
        <w:tc>
          <w:tcPr>
            <w:tcW w:w="625" w:type="pct"/>
            <w:tcBorders>
              <w:top w:val="nil"/>
              <w:left w:val="nil"/>
              <w:bottom w:val="nil"/>
              <w:right w:val="nil"/>
            </w:tcBorders>
            <w:shd w:val="clear" w:color="auto" w:fill="auto"/>
            <w:noWrap/>
            <w:vAlign w:val="bottom"/>
            <w:hideMark/>
          </w:tcPr>
          <w:p w14:paraId="4FCA4AF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CGT</w:t>
            </w:r>
          </w:p>
        </w:tc>
        <w:tc>
          <w:tcPr>
            <w:tcW w:w="344" w:type="pct"/>
            <w:tcBorders>
              <w:top w:val="nil"/>
              <w:left w:val="nil"/>
              <w:bottom w:val="nil"/>
              <w:right w:val="nil"/>
            </w:tcBorders>
            <w:shd w:val="clear" w:color="auto" w:fill="auto"/>
            <w:noWrap/>
            <w:vAlign w:val="bottom"/>
            <w:hideMark/>
          </w:tcPr>
          <w:p w14:paraId="1EAA67FB"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E8</w:t>
            </w:r>
          </w:p>
        </w:tc>
        <w:tc>
          <w:tcPr>
            <w:tcW w:w="2358" w:type="pct"/>
            <w:tcBorders>
              <w:top w:val="nil"/>
              <w:left w:val="nil"/>
              <w:bottom w:val="nil"/>
              <w:right w:val="nil"/>
            </w:tcBorders>
            <w:shd w:val="clear" w:color="auto" w:fill="auto"/>
            <w:vAlign w:val="bottom"/>
            <w:hideMark/>
          </w:tcPr>
          <w:p w14:paraId="0A63CCE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Main residence exemption – discount component</w:t>
            </w:r>
          </w:p>
        </w:tc>
        <w:tc>
          <w:tcPr>
            <w:tcW w:w="567" w:type="pct"/>
            <w:tcBorders>
              <w:top w:val="nil"/>
              <w:left w:val="nil"/>
              <w:bottom w:val="nil"/>
              <w:right w:val="nil"/>
            </w:tcBorders>
            <w:shd w:val="clear" w:color="auto" w:fill="auto"/>
            <w:noWrap/>
            <w:vAlign w:val="bottom"/>
            <w:hideMark/>
          </w:tcPr>
          <w:p w14:paraId="31B83653"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26,000</w:t>
            </w:r>
          </w:p>
        </w:tc>
        <w:tc>
          <w:tcPr>
            <w:tcW w:w="539" w:type="pct"/>
            <w:tcBorders>
              <w:top w:val="nil"/>
              <w:left w:val="nil"/>
              <w:bottom w:val="nil"/>
              <w:right w:val="nil"/>
            </w:tcBorders>
            <w:shd w:val="clear" w:color="auto" w:fill="auto"/>
            <w:vAlign w:val="bottom"/>
            <w:hideMark/>
          </w:tcPr>
          <w:p w14:paraId="0308CC6C"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15.1</w:t>
            </w:r>
          </w:p>
        </w:tc>
        <w:tc>
          <w:tcPr>
            <w:tcW w:w="567" w:type="pct"/>
            <w:tcBorders>
              <w:top w:val="nil"/>
              <w:left w:val="nil"/>
              <w:bottom w:val="nil"/>
              <w:right w:val="nil"/>
            </w:tcBorders>
            <w:shd w:val="clear" w:color="auto" w:fill="auto"/>
            <w:noWrap/>
            <w:vAlign w:val="bottom"/>
            <w:hideMark/>
          </w:tcPr>
          <w:p w14:paraId="0396FC8B" w14:textId="388DC9C9"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8.9</w:t>
            </w:r>
          </w:p>
        </w:tc>
      </w:tr>
      <w:tr w:rsidR="00335093" w:rsidRPr="00966BD4" w14:paraId="40098772" w14:textId="77777777" w:rsidTr="00335093">
        <w:trPr>
          <w:trHeight w:hRule="exact" w:val="225"/>
        </w:trPr>
        <w:tc>
          <w:tcPr>
            <w:tcW w:w="625" w:type="pct"/>
            <w:tcBorders>
              <w:top w:val="nil"/>
              <w:left w:val="nil"/>
              <w:bottom w:val="nil"/>
              <w:right w:val="nil"/>
            </w:tcBorders>
            <w:shd w:val="clear" w:color="auto" w:fill="auto"/>
            <w:noWrap/>
            <w:vAlign w:val="bottom"/>
            <w:hideMark/>
          </w:tcPr>
          <w:p w14:paraId="3B3EFFF0"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Deductions</w:t>
            </w:r>
          </w:p>
        </w:tc>
        <w:tc>
          <w:tcPr>
            <w:tcW w:w="344" w:type="pct"/>
            <w:tcBorders>
              <w:top w:val="nil"/>
              <w:left w:val="nil"/>
              <w:bottom w:val="nil"/>
              <w:right w:val="nil"/>
            </w:tcBorders>
            <w:shd w:val="clear" w:color="auto" w:fill="auto"/>
            <w:noWrap/>
            <w:vAlign w:val="bottom"/>
            <w:hideMark/>
          </w:tcPr>
          <w:p w14:paraId="7AED6B8E" w14:textId="77777777" w:rsidR="00335093" w:rsidRPr="00966BD4" w:rsidRDefault="00335093" w:rsidP="00335093">
            <w:pPr>
              <w:spacing w:before="0" w:after="0" w:line="240" w:lineRule="auto"/>
              <w:rPr>
                <w:rFonts w:ascii="Arial" w:hAnsi="Arial" w:cs="Arial"/>
                <w:sz w:val="16"/>
                <w:szCs w:val="16"/>
              </w:rPr>
            </w:pPr>
          </w:p>
        </w:tc>
        <w:tc>
          <w:tcPr>
            <w:tcW w:w="2358" w:type="pct"/>
            <w:tcBorders>
              <w:top w:val="nil"/>
              <w:left w:val="nil"/>
              <w:bottom w:val="nil"/>
              <w:right w:val="nil"/>
            </w:tcBorders>
            <w:shd w:val="clear" w:color="auto" w:fill="auto"/>
            <w:vAlign w:val="bottom"/>
            <w:hideMark/>
          </w:tcPr>
          <w:p w14:paraId="014430D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Rental deductions</w:t>
            </w:r>
          </w:p>
        </w:tc>
        <w:tc>
          <w:tcPr>
            <w:tcW w:w="567" w:type="pct"/>
            <w:tcBorders>
              <w:top w:val="nil"/>
              <w:left w:val="nil"/>
              <w:bottom w:val="nil"/>
              <w:right w:val="nil"/>
            </w:tcBorders>
            <w:shd w:val="clear" w:color="auto" w:fill="auto"/>
            <w:noWrap/>
            <w:vAlign w:val="bottom"/>
            <w:hideMark/>
          </w:tcPr>
          <w:p w14:paraId="301213CD"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24,400</w:t>
            </w:r>
          </w:p>
        </w:tc>
        <w:tc>
          <w:tcPr>
            <w:tcW w:w="539" w:type="pct"/>
            <w:tcBorders>
              <w:top w:val="nil"/>
              <w:left w:val="nil"/>
              <w:bottom w:val="nil"/>
              <w:right w:val="nil"/>
            </w:tcBorders>
            <w:shd w:val="clear" w:color="auto" w:fill="auto"/>
            <w:vAlign w:val="bottom"/>
            <w:hideMark/>
          </w:tcPr>
          <w:p w14:paraId="408E70B2" w14:textId="646348D6"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2.5</w:t>
            </w:r>
          </w:p>
        </w:tc>
        <w:tc>
          <w:tcPr>
            <w:tcW w:w="567" w:type="pct"/>
            <w:tcBorders>
              <w:top w:val="nil"/>
              <w:left w:val="nil"/>
              <w:bottom w:val="nil"/>
              <w:right w:val="nil"/>
            </w:tcBorders>
            <w:shd w:val="clear" w:color="auto" w:fill="auto"/>
            <w:noWrap/>
            <w:vAlign w:val="bottom"/>
            <w:hideMark/>
          </w:tcPr>
          <w:p w14:paraId="33863E1C"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9.4</w:t>
            </w:r>
          </w:p>
        </w:tc>
      </w:tr>
      <w:tr w:rsidR="00335093" w:rsidRPr="00966BD4" w14:paraId="36F226B3" w14:textId="77777777" w:rsidTr="00335093">
        <w:trPr>
          <w:trHeight w:hRule="exact" w:val="225"/>
        </w:trPr>
        <w:tc>
          <w:tcPr>
            <w:tcW w:w="625" w:type="pct"/>
            <w:tcBorders>
              <w:top w:val="nil"/>
              <w:left w:val="nil"/>
              <w:bottom w:val="nil"/>
              <w:right w:val="nil"/>
            </w:tcBorders>
            <w:shd w:val="clear" w:color="auto" w:fill="auto"/>
            <w:noWrap/>
            <w:vAlign w:val="bottom"/>
            <w:hideMark/>
          </w:tcPr>
          <w:p w14:paraId="489E00FF"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CGT</w:t>
            </w:r>
          </w:p>
        </w:tc>
        <w:tc>
          <w:tcPr>
            <w:tcW w:w="344" w:type="pct"/>
            <w:tcBorders>
              <w:top w:val="nil"/>
              <w:left w:val="nil"/>
              <w:bottom w:val="nil"/>
              <w:right w:val="nil"/>
            </w:tcBorders>
            <w:shd w:val="clear" w:color="auto" w:fill="auto"/>
            <w:noWrap/>
            <w:vAlign w:val="bottom"/>
            <w:hideMark/>
          </w:tcPr>
          <w:p w14:paraId="709915A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E15</w:t>
            </w:r>
          </w:p>
        </w:tc>
        <w:tc>
          <w:tcPr>
            <w:tcW w:w="2358" w:type="pct"/>
            <w:tcBorders>
              <w:top w:val="nil"/>
              <w:left w:val="nil"/>
              <w:bottom w:val="nil"/>
              <w:right w:val="nil"/>
            </w:tcBorders>
            <w:shd w:val="clear" w:color="auto" w:fill="auto"/>
            <w:vAlign w:val="bottom"/>
            <w:hideMark/>
          </w:tcPr>
          <w:p w14:paraId="3BE04112"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Discount for individuals and trusts</w:t>
            </w:r>
          </w:p>
        </w:tc>
        <w:tc>
          <w:tcPr>
            <w:tcW w:w="567" w:type="pct"/>
            <w:tcBorders>
              <w:top w:val="nil"/>
              <w:left w:val="nil"/>
              <w:bottom w:val="nil"/>
              <w:right w:val="nil"/>
            </w:tcBorders>
            <w:shd w:val="clear" w:color="auto" w:fill="auto"/>
            <w:noWrap/>
            <w:vAlign w:val="bottom"/>
            <w:hideMark/>
          </w:tcPr>
          <w:p w14:paraId="252D1932"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23,690</w:t>
            </w:r>
          </w:p>
        </w:tc>
        <w:tc>
          <w:tcPr>
            <w:tcW w:w="539" w:type="pct"/>
            <w:tcBorders>
              <w:top w:val="nil"/>
              <w:left w:val="nil"/>
              <w:bottom w:val="nil"/>
              <w:right w:val="nil"/>
            </w:tcBorders>
            <w:shd w:val="clear" w:color="auto" w:fill="auto"/>
            <w:vAlign w:val="bottom"/>
            <w:hideMark/>
          </w:tcPr>
          <w:p w14:paraId="4E2C5BD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16.3</w:t>
            </w:r>
          </w:p>
        </w:tc>
        <w:tc>
          <w:tcPr>
            <w:tcW w:w="567" w:type="pct"/>
            <w:tcBorders>
              <w:top w:val="nil"/>
              <w:left w:val="nil"/>
              <w:bottom w:val="nil"/>
              <w:right w:val="nil"/>
            </w:tcBorders>
            <w:shd w:val="clear" w:color="auto" w:fill="auto"/>
            <w:noWrap/>
            <w:vAlign w:val="bottom"/>
            <w:hideMark/>
          </w:tcPr>
          <w:p w14:paraId="16CC4EA7" w14:textId="7E1E2E05"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11.9</w:t>
            </w:r>
          </w:p>
        </w:tc>
      </w:tr>
      <w:tr w:rsidR="00335093" w:rsidRPr="00966BD4" w14:paraId="327FD570" w14:textId="77777777" w:rsidTr="00335093">
        <w:trPr>
          <w:trHeight w:hRule="exact" w:val="450"/>
        </w:trPr>
        <w:tc>
          <w:tcPr>
            <w:tcW w:w="625" w:type="pct"/>
            <w:tcBorders>
              <w:top w:val="nil"/>
              <w:left w:val="nil"/>
              <w:bottom w:val="nil"/>
              <w:right w:val="nil"/>
            </w:tcBorders>
            <w:shd w:val="clear" w:color="auto" w:fill="auto"/>
            <w:noWrap/>
            <w:vAlign w:val="bottom"/>
            <w:hideMark/>
          </w:tcPr>
          <w:p w14:paraId="02C3663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Super</w:t>
            </w:r>
          </w:p>
        </w:tc>
        <w:tc>
          <w:tcPr>
            <w:tcW w:w="344" w:type="pct"/>
            <w:tcBorders>
              <w:top w:val="nil"/>
              <w:left w:val="nil"/>
              <w:bottom w:val="nil"/>
              <w:right w:val="nil"/>
            </w:tcBorders>
            <w:shd w:val="clear" w:color="auto" w:fill="auto"/>
            <w:noWrap/>
            <w:vAlign w:val="bottom"/>
            <w:hideMark/>
          </w:tcPr>
          <w:p w14:paraId="1D340C0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C2</w:t>
            </w:r>
          </w:p>
        </w:tc>
        <w:tc>
          <w:tcPr>
            <w:tcW w:w="2358" w:type="pct"/>
            <w:tcBorders>
              <w:top w:val="nil"/>
              <w:left w:val="nil"/>
              <w:bottom w:val="nil"/>
              <w:right w:val="nil"/>
            </w:tcBorders>
            <w:shd w:val="clear" w:color="auto" w:fill="auto"/>
            <w:vAlign w:val="bottom"/>
            <w:hideMark/>
          </w:tcPr>
          <w:p w14:paraId="70BDC15B"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Concessional taxation of employer superannuation contributions</w:t>
            </w:r>
          </w:p>
        </w:tc>
        <w:tc>
          <w:tcPr>
            <w:tcW w:w="567" w:type="pct"/>
            <w:tcBorders>
              <w:top w:val="nil"/>
              <w:left w:val="nil"/>
              <w:bottom w:val="nil"/>
              <w:right w:val="nil"/>
            </w:tcBorders>
            <w:shd w:val="clear" w:color="auto" w:fill="auto"/>
            <w:noWrap/>
            <w:vAlign w:val="bottom"/>
            <w:hideMark/>
          </w:tcPr>
          <w:p w14:paraId="3AAFB0FA"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23,300</w:t>
            </w:r>
          </w:p>
        </w:tc>
        <w:tc>
          <w:tcPr>
            <w:tcW w:w="539" w:type="pct"/>
            <w:tcBorders>
              <w:top w:val="nil"/>
              <w:left w:val="nil"/>
              <w:bottom w:val="nil"/>
              <w:right w:val="nil"/>
            </w:tcBorders>
            <w:shd w:val="clear" w:color="auto" w:fill="auto"/>
            <w:vAlign w:val="bottom"/>
            <w:hideMark/>
          </w:tcPr>
          <w:p w14:paraId="01253679"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6.6</w:t>
            </w:r>
          </w:p>
        </w:tc>
        <w:tc>
          <w:tcPr>
            <w:tcW w:w="567" w:type="pct"/>
            <w:tcBorders>
              <w:top w:val="nil"/>
              <w:left w:val="nil"/>
              <w:bottom w:val="nil"/>
              <w:right w:val="nil"/>
            </w:tcBorders>
            <w:shd w:val="clear" w:color="auto" w:fill="auto"/>
            <w:noWrap/>
            <w:vAlign w:val="bottom"/>
            <w:hideMark/>
          </w:tcPr>
          <w:p w14:paraId="0BA776A9"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3.2</w:t>
            </w:r>
          </w:p>
        </w:tc>
      </w:tr>
      <w:tr w:rsidR="00335093" w:rsidRPr="00966BD4" w14:paraId="0CD4194E" w14:textId="77777777" w:rsidTr="00335093">
        <w:trPr>
          <w:trHeight w:hRule="exact" w:val="225"/>
        </w:trPr>
        <w:tc>
          <w:tcPr>
            <w:tcW w:w="625" w:type="pct"/>
            <w:tcBorders>
              <w:top w:val="nil"/>
              <w:left w:val="nil"/>
              <w:bottom w:val="nil"/>
              <w:right w:val="nil"/>
            </w:tcBorders>
            <w:shd w:val="clear" w:color="auto" w:fill="auto"/>
            <w:noWrap/>
            <w:vAlign w:val="bottom"/>
            <w:hideMark/>
          </w:tcPr>
          <w:p w14:paraId="6D2BF6D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CGT</w:t>
            </w:r>
          </w:p>
        </w:tc>
        <w:tc>
          <w:tcPr>
            <w:tcW w:w="344" w:type="pct"/>
            <w:tcBorders>
              <w:top w:val="nil"/>
              <w:left w:val="nil"/>
              <w:bottom w:val="nil"/>
              <w:right w:val="nil"/>
            </w:tcBorders>
            <w:shd w:val="clear" w:color="auto" w:fill="auto"/>
            <w:noWrap/>
            <w:vAlign w:val="bottom"/>
            <w:hideMark/>
          </w:tcPr>
          <w:p w14:paraId="4AA8E9A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E7</w:t>
            </w:r>
          </w:p>
        </w:tc>
        <w:tc>
          <w:tcPr>
            <w:tcW w:w="2358" w:type="pct"/>
            <w:tcBorders>
              <w:top w:val="nil"/>
              <w:left w:val="nil"/>
              <w:bottom w:val="nil"/>
              <w:right w:val="nil"/>
            </w:tcBorders>
            <w:shd w:val="clear" w:color="auto" w:fill="auto"/>
            <w:vAlign w:val="bottom"/>
            <w:hideMark/>
          </w:tcPr>
          <w:p w14:paraId="4D17E08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Main residence exemption</w:t>
            </w:r>
          </w:p>
        </w:tc>
        <w:tc>
          <w:tcPr>
            <w:tcW w:w="567" w:type="pct"/>
            <w:tcBorders>
              <w:top w:val="nil"/>
              <w:left w:val="nil"/>
              <w:bottom w:val="nil"/>
              <w:right w:val="nil"/>
            </w:tcBorders>
            <w:shd w:val="clear" w:color="auto" w:fill="auto"/>
            <w:noWrap/>
            <w:vAlign w:val="bottom"/>
            <w:hideMark/>
          </w:tcPr>
          <w:p w14:paraId="280CFAAD"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22,000</w:t>
            </w:r>
          </w:p>
        </w:tc>
        <w:tc>
          <w:tcPr>
            <w:tcW w:w="539" w:type="pct"/>
            <w:tcBorders>
              <w:top w:val="nil"/>
              <w:left w:val="nil"/>
              <w:bottom w:val="nil"/>
              <w:right w:val="nil"/>
            </w:tcBorders>
            <w:shd w:val="clear" w:color="auto" w:fill="auto"/>
            <w:vAlign w:val="bottom"/>
            <w:hideMark/>
          </w:tcPr>
          <w:p w14:paraId="14F986B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14.5</w:t>
            </w:r>
          </w:p>
        </w:tc>
        <w:tc>
          <w:tcPr>
            <w:tcW w:w="567" w:type="pct"/>
            <w:tcBorders>
              <w:top w:val="nil"/>
              <w:left w:val="nil"/>
              <w:bottom w:val="nil"/>
              <w:right w:val="nil"/>
            </w:tcBorders>
            <w:shd w:val="clear" w:color="auto" w:fill="auto"/>
            <w:noWrap/>
            <w:vAlign w:val="bottom"/>
            <w:hideMark/>
          </w:tcPr>
          <w:p w14:paraId="43B188A6" w14:textId="15E195D9"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8.4</w:t>
            </w:r>
          </w:p>
        </w:tc>
      </w:tr>
      <w:tr w:rsidR="00335093" w:rsidRPr="00966BD4" w14:paraId="4426B084" w14:textId="77777777" w:rsidTr="00335093">
        <w:trPr>
          <w:trHeight w:hRule="exact" w:val="450"/>
        </w:trPr>
        <w:tc>
          <w:tcPr>
            <w:tcW w:w="625" w:type="pct"/>
            <w:tcBorders>
              <w:top w:val="nil"/>
              <w:left w:val="nil"/>
              <w:bottom w:val="nil"/>
              <w:right w:val="nil"/>
            </w:tcBorders>
            <w:shd w:val="clear" w:color="auto" w:fill="auto"/>
            <w:noWrap/>
            <w:vAlign w:val="bottom"/>
            <w:hideMark/>
          </w:tcPr>
          <w:p w14:paraId="3FDB8660"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Super</w:t>
            </w:r>
          </w:p>
        </w:tc>
        <w:tc>
          <w:tcPr>
            <w:tcW w:w="344" w:type="pct"/>
            <w:tcBorders>
              <w:top w:val="nil"/>
              <w:left w:val="nil"/>
              <w:bottom w:val="nil"/>
              <w:right w:val="nil"/>
            </w:tcBorders>
            <w:shd w:val="clear" w:color="auto" w:fill="auto"/>
            <w:noWrap/>
            <w:vAlign w:val="bottom"/>
            <w:hideMark/>
          </w:tcPr>
          <w:p w14:paraId="63BEDDD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C4</w:t>
            </w:r>
          </w:p>
        </w:tc>
        <w:tc>
          <w:tcPr>
            <w:tcW w:w="2358" w:type="pct"/>
            <w:tcBorders>
              <w:top w:val="nil"/>
              <w:left w:val="nil"/>
              <w:bottom w:val="nil"/>
              <w:right w:val="nil"/>
            </w:tcBorders>
            <w:shd w:val="clear" w:color="auto" w:fill="auto"/>
            <w:vAlign w:val="bottom"/>
            <w:hideMark/>
          </w:tcPr>
          <w:p w14:paraId="2C50D66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Concessional taxation of superannuation entity earnings</w:t>
            </w:r>
          </w:p>
        </w:tc>
        <w:tc>
          <w:tcPr>
            <w:tcW w:w="567" w:type="pct"/>
            <w:tcBorders>
              <w:top w:val="nil"/>
              <w:left w:val="nil"/>
              <w:bottom w:val="nil"/>
              <w:right w:val="nil"/>
            </w:tcBorders>
            <w:shd w:val="clear" w:color="auto" w:fill="auto"/>
            <w:noWrap/>
            <w:vAlign w:val="bottom"/>
            <w:hideMark/>
          </w:tcPr>
          <w:p w14:paraId="343DCC5D"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21,500</w:t>
            </w:r>
          </w:p>
        </w:tc>
        <w:tc>
          <w:tcPr>
            <w:tcW w:w="539" w:type="pct"/>
            <w:tcBorders>
              <w:top w:val="nil"/>
              <w:left w:val="nil"/>
              <w:bottom w:val="nil"/>
              <w:right w:val="nil"/>
            </w:tcBorders>
            <w:shd w:val="clear" w:color="auto" w:fill="auto"/>
            <w:vAlign w:val="bottom"/>
            <w:hideMark/>
          </w:tcPr>
          <w:p w14:paraId="41D5E64C" w14:textId="14C41F93"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0.9</w:t>
            </w:r>
          </w:p>
        </w:tc>
        <w:tc>
          <w:tcPr>
            <w:tcW w:w="567" w:type="pct"/>
            <w:tcBorders>
              <w:top w:val="nil"/>
              <w:left w:val="nil"/>
              <w:bottom w:val="nil"/>
              <w:right w:val="nil"/>
            </w:tcBorders>
            <w:shd w:val="clear" w:color="auto" w:fill="auto"/>
            <w:noWrap/>
            <w:vAlign w:val="bottom"/>
            <w:hideMark/>
          </w:tcPr>
          <w:p w14:paraId="45F0DBA2"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1.5</w:t>
            </w:r>
          </w:p>
        </w:tc>
      </w:tr>
      <w:tr w:rsidR="00335093" w:rsidRPr="00966BD4" w14:paraId="4C80A414" w14:textId="77777777" w:rsidTr="00335093">
        <w:trPr>
          <w:trHeight w:hRule="exact" w:val="225"/>
        </w:trPr>
        <w:tc>
          <w:tcPr>
            <w:tcW w:w="625" w:type="pct"/>
            <w:tcBorders>
              <w:top w:val="nil"/>
              <w:left w:val="nil"/>
              <w:bottom w:val="nil"/>
              <w:right w:val="nil"/>
            </w:tcBorders>
            <w:shd w:val="clear" w:color="auto" w:fill="auto"/>
            <w:noWrap/>
            <w:vAlign w:val="bottom"/>
            <w:hideMark/>
          </w:tcPr>
          <w:p w14:paraId="1B4E898D"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Deductions</w:t>
            </w:r>
          </w:p>
        </w:tc>
        <w:tc>
          <w:tcPr>
            <w:tcW w:w="344" w:type="pct"/>
            <w:tcBorders>
              <w:top w:val="nil"/>
              <w:left w:val="nil"/>
              <w:bottom w:val="nil"/>
              <w:right w:val="nil"/>
            </w:tcBorders>
            <w:shd w:val="clear" w:color="auto" w:fill="auto"/>
            <w:noWrap/>
            <w:vAlign w:val="bottom"/>
            <w:hideMark/>
          </w:tcPr>
          <w:p w14:paraId="2EFFB8A5" w14:textId="77777777" w:rsidR="00335093" w:rsidRPr="00966BD4" w:rsidRDefault="00335093" w:rsidP="00335093">
            <w:pPr>
              <w:spacing w:before="0" w:after="0" w:line="240" w:lineRule="auto"/>
              <w:rPr>
                <w:rFonts w:ascii="Arial" w:hAnsi="Arial" w:cs="Arial"/>
                <w:sz w:val="16"/>
                <w:szCs w:val="16"/>
              </w:rPr>
            </w:pPr>
          </w:p>
        </w:tc>
        <w:tc>
          <w:tcPr>
            <w:tcW w:w="2358" w:type="pct"/>
            <w:tcBorders>
              <w:top w:val="nil"/>
              <w:left w:val="nil"/>
              <w:bottom w:val="nil"/>
              <w:right w:val="nil"/>
            </w:tcBorders>
            <w:shd w:val="clear" w:color="auto" w:fill="auto"/>
            <w:vAlign w:val="bottom"/>
            <w:hideMark/>
          </w:tcPr>
          <w:p w14:paraId="235B644A"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Work related expenses</w:t>
            </w:r>
          </w:p>
        </w:tc>
        <w:tc>
          <w:tcPr>
            <w:tcW w:w="567" w:type="pct"/>
            <w:tcBorders>
              <w:top w:val="nil"/>
              <w:left w:val="nil"/>
              <w:bottom w:val="nil"/>
              <w:right w:val="nil"/>
            </w:tcBorders>
            <w:shd w:val="clear" w:color="auto" w:fill="auto"/>
            <w:noWrap/>
            <w:vAlign w:val="bottom"/>
            <w:hideMark/>
          </w:tcPr>
          <w:p w14:paraId="04233644"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9,900</w:t>
            </w:r>
          </w:p>
        </w:tc>
        <w:tc>
          <w:tcPr>
            <w:tcW w:w="539" w:type="pct"/>
            <w:tcBorders>
              <w:top w:val="nil"/>
              <w:left w:val="nil"/>
              <w:bottom w:val="nil"/>
              <w:right w:val="nil"/>
            </w:tcBorders>
            <w:shd w:val="clear" w:color="auto" w:fill="auto"/>
            <w:vAlign w:val="bottom"/>
            <w:hideMark/>
          </w:tcPr>
          <w:p w14:paraId="55E577D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4.4</w:t>
            </w:r>
          </w:p>
        </w:tc>
        <w:tc>
          <w:tcPr>
            <w:tcW w:w="567" w:type="pct"/>
            <w:tcBorders>
              <w:top w:val="nil"/>
              <w:left w:val="nil"/>
              <w:bottom w:val="nil"/>
              <w:right w:val="nil"/>
            </w:tcBorders>
            <w:shd w:val="clear" w:color="auto" w:fill="auto"/>
            <w:noWrap/>
            <w:vAlign w:val="bottom"/>
            <w:hideMark/>
          </w:tcPr>
          <w:p w14:paraId="5F33423A"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3.4</w:t>
            </w:r>
          </w:p>
        </w:tc>
      </w:tr>
      <w:tr w:rsidR="00335093" w:rsidRPr="00966BD4" w14:paraId="0F1BB2C6" w14:textId="77777777" w:rsidTr="00335093">
        <w:trPr>
          <w:trHeight w:hRule="exact" w:val="225"/>
        </w:trPr>
        <w:tc>
          <w:tcPr>
            <w:tcW w:w="625" w:type="pct"/>
            <w:tcBorders>
              <w:top w:val="nil"/>
              <w:left w:val="nil"/>
              <w:bottom w:val="nil"/>
              <w:right w:val="nil"/>
            </w:tcBorders>
            <w:shd w:val="clear" w:color="auto" w:fill="auto"/>
            <w:noWrap/>
            <w:vAlign w:val="bottom"/>
            <w:hideMark/>
          </w:tcPr>
          <w:p w14:paraId="7E237A8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321FFF5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H26</w:t>
            </w:r>
          </w:p>
        </w:tc>
        <w:tc>
          <w:tcPr>
            <w:tcW w:w="2358" w:type="pct"/>
            <w:tcBorders>
              <w:top w:val="nil"/>
              <w:left w:val="nil"/>
              <w:bottom w:val="nil"/>
              <w:right w:val="nil"/>
            </w:tcBorders>
            <w:shd w:val="clear" w:color="auto" w:fill="auto"/>
            <w:vAlign w:val="bottom"/>
            <w:hideMark/>
          </w:tcPr>
          <w:p w14:paraId="1093309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Food</w:t>
            </w:r>
          </w:p>
        </w:tc>
        <w:tc>
          <w:tcPr>
            <w:tcW w:w="567" w:type="pct"/>
            <w:tcBorders>
              <w:top w:val="nil"/>
              <w:left w:val="nil"/>
              <w:bottom w:val="nil"/>
              <w:right w:val="nil"/>
            </w:tcBorders>
            <w:shd w:val="clear" w:color="auto" w:fill="auto"/>
            <w:noWrap/>
            <w:vAlign w:val="bottom"/>
            <w:hideMark/>
          </w:tcPr>
          <w:p w14:paraId="79BB694A"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8,400</w:t>
            </w:r>
          </w:p>
        </w:tc>
        <w:tc>
          <w:tcPr>
            <w:tcW w:w="539" w:type="pct"/>
            <w:tcBorders>
              <w:top w:val="nil"/>
              <w:left w:val="nil"/>
              <w:bottom w:val="nil"/>
              <w:right w:val="nil"/>
            </w:tcBorders>
            <w:shd w:val="clear" w:color="auto" w:fill="auto"/>
            <w:vAlign w:val="bottom"/>
            <w:hideMark/>
          </w:tcPr>
          <w:p w14:paraId="25C33FAF"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3.5</w:t>
            </w:r>
          </w:p>
        </w:tc>
        <w:tc>
          <w:tcPr>
            <w:tcW w:w="567" w:type="pct"/>
            <w:tcBorders>
              <w:top w:val="nil"/>
              <w:left w:val="nil"/>
              <w:bottom w:val="nil"/>
              <w:right w:val="nil"/>
            </w:tcBorders>
            <w:shd w:val="clear" w:color="auto" w:fill="auto"/>
            <w:noWrap/>
            <w:vAlign w:val="bottom"/>
            <w:hideMark/>
          </w:tcPr>
          <w:p w14:paraId="4E6EE38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3.8</w:t>
            </w:r>
          </w:p>
        </w:tc>
      </w:tr>
      <w:tr w:rsidR="00335093" w:rsidRPr="00966BD4" w14:paraId="6724F809" w14:textId="77777777" w:rsidTr="00335093">
        <w:trPr>
          <w:trHeight w:hRule="exact" w:val="450"/>
        </w:trPr>
        <w:tc>
          <w:tcPr>
            <w:tcW w:w="625" w:type="pct"/>
            <w:tcBorders>
              <w:top w:val="nil"/>
              <w:left w:val="nil"/>
              <w:bottom w:val="nil"/>
              <w:right w:val="nil"/>
            </w:tcBorders>
            <w:shd w:val="clear" w:color="auto" w:fill="auto"/>
            <w:noWrap/>
            <w:vAlign w:val="bottom"/>
            <w:hideMark/>
          </w:tcPr>
          <w:p w14:paraId="34A60BA7"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119E892"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A25</w:t>
            </w:r>
          </w:p>
        </w:tc>
        <w:tc>
          <w:tcPr>
            <w:tcW w:w="2358" w:type="pct"/>
            <w:tcBorders>
              <w:top w:val="nil"/>
              <w:left w:val="nil"/>
              <w:bottom w:val="nil"/>
              <w:right w:val="nil"/>
            </w:tcBorders>
            <w:shd w:val="clear" w:color="auto" w:fill="auto"/>
            <w:vAlign w:val="bottom"/>
            <w:hideMark/>
          </w:tcPr>
          <w:p w14:paraId="39FC2040"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for National Disability Insurance Scheme amounts</w:t>
            </w:r>
          </w:p>
        </w:tc>
        <w:tc>
          <w:tcPr>
            <w:tcW w:w="567" w:type="pct"/>
            <w:tcBorders>
              <w:top w:val="nil"/>
              <w:left w:val="nil"/>
              <w:bottom w:val="nil"/>
              <w:right w:val="nil"/>
            </w:tcBorders>
            <w:shd w:val="clear" w:color="auto" w:fill="auto"/>
            <w:noWrap/>
            <w:vAlign w:val="bottom"/>
            <w:hideMark/>
          </w:tcPr>
          <w:p w14:paraId="186E10B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8,080</w:t>
            </w:r>
          </w:p>
        </w:tc>
        <w:tc>
          <w:tcPr>
            <w:tcW w:w="539" w:type="pct"/>
            <w:tcBorders>
              <w:top w:val="nil"/>
              <w:left w:val="nil"/>
              <w:bottom w:val="nil"/>
              <w:right w:val="nil"/>
            </w:tcBorders>
            <w:shd w:val="clear" w:color="auto" w:fill="auto"/>
            <w:vAlign w:val="bottom"/>
            <w:hideMark/>
          </w:tcPr>
          <w:p w14:paraId="518411AC"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58.7</w:t>
            </w:r>
          </w:p>
        </w:tc>
        <w:tc>
          <w:tcPr>
            <w:tcW w:w="567" w:type="pct"/>
            <w:tcBorders>
              <w:top w:val="nil"/>
              <w:left w:val="nil"/>
              <w:bottom w:val="nil"/>
              <w:right w:val="nil"/>
            </w:tcBorders>
            <w:shd w:val="clear" w:color="auto" w:fill="auto"/>
            <w:noWrap/>
            <w:vAlign w:val="bottom"/>
            <w:hideMark/>
          </w:tcPr>
          <w:p w14:paraId="52A6E17A"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19.2</w:t>
            </w:r>
          </w:p>
        </w:tc>
      </w:tr>
      <w:tr w:rsidR="00335093" w:rsidRPr="00966BD4" w14:paraId="2EA8653E" w14:textId="77777777" w:rsidTr="00335093">
        <w:trPr>
          <w:trHeight w:hRule="exact" w:val="225"/>
        </w:trPr>
        <w:tc>
          <w:tcPr>
            <w:tcW w:w="625" w:type="pct"/>
            <w:tcBorders>
              <w:top w:val="nil"/>
              <w:left w:val="nil"/>
              <w:bottom w:val="nil"/>
              <w:right w:val="nil"/>
            </w:tcBorders>
            <w:shd w:val="clear" w:color="auto" w:fill="auto"/>
            <w:noWrap/>
            <w:vAlign w:val="bottom"/>
            <w:hideMark/>
          </w:tcPr>
          <w:p w14:paraId="104C4EA2"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5A715CC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B69</w:t>
            </w:r>
          </w:p>
        </w:tc>
        <w:tc>
          <w:tcPr>
            <w:tcW w:w="2358" w:type="pct"/>
            <w:tcBorders>
              <w:top w:val="nil"/>
              <w:left w:val="nil"/>
              <w:bottom w:val="nil"/>
              <w:right w:val="nil"/>
            </w:tcBorders>
            <w:shd w:val="clear" w:color="auto" w:fill="auto"/>
            <w:vAlign w:val="bottom"/>
            <w:hideMark/>
          </w:tcPr>
          <w:p w14:paraId="4A00A2B8"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Accelerated depreciation for business entities</w:t>
            </w:r>
          </w:p>
        </w:tc>
        <w:tc>
          <w:tcPr>
            <w:tcW w:w="567" w:type="pct"/>
            <w:tcBorders>
              <w:top w:val="nil"/>
              <w:left w:val="nil"/>
              <w:bottom w:val="nil"/>
              <w:right w:val="nil"/>
            </w:tcBorders>
            <w:shd w:val="clear" w:color="auto" w:fill="auto"/>
            <w:noWrap/>
            <w:vAlign w:val="bottom"/>
            <w:hideMark/>
          </w:tcPr>
          <w:p w14:paraId="156F4CAE"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7,800</w:t>
            </w:r>
          </w:p>
        </w:tc>
        <w:tc>
          <w:tcPr>
            <w:tcW w:w="539" w:type="pct"/>
            <w:tcBorders>
              <w:top w:val="nil"/>
              <w:left w:val="nil"/>
              <w:bottom w:val="nil"/>
              <w:right w:val="nil"/>
            </w:tcBorders>
            <w:shd w:val="clear" w:color="auto" w:fill="auto"/>
            <w:vAlign w:val="bottom"/>
            <w:hideMark/>
          </w:tcPr>
          <w:p w14:paraId="69DD6EE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N/A</w:t>
            </w:r>
          </w:p>
        </w:tc>
        <w:tc>
          <w:tcPr>
            <w:tcW w:w="567" w:type="pct"/>
            <w:tcBorders>
              <w:top w:val="nil"/>
              <w:left w:val="nil"/>
              <w:bottom w:val="nil"/>
              <w:right w:val="nil"/>
            </w:tcBorders>
            <w:shd w:val="clear" w:color="auto" w:fill="auto"/>
            <w:noWrap/>
            <w:vAlign w:val="bottom"/>
            <w:hideMark/>
          </w:tcPr>
          <w:p w14:paraId="6EF45687"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N/A</w:t>
            </w:r>
          </w:p>
        </w:tc>
      </w:tr>
      <w:tr w:rsidR="00335093" w:rsidRPr="00966BD4" w14:paraId="1853361C" w14:textId="77777777" w:rsidTr="00335093">
        <w:trPr>
          <w:trHeight w:hRule="exact" w:val="225"/>
        </w:trPr>
        <w:tc>
          <w:tcPr>
            <w:tcW w:w="625" w:type="pct"/>
            <w:tcBorders>
              <w:top w:val="nil"/>
              <w:left w:val="nil"/>
              <w:bottom w:val="nil"/>
              <w:right w:val="nil"/>
            </w:tcBorders>
            <w:shd w:val="clear" w:color="auto" w:fill="auto"/>
            <w:noWrap/>
            <w:vAlign w:val="bottom"/>
            <w:hideMark/>
          </w:tcPr>
          <w:p w14:paraId="0D40BA18"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072FD189"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H14</w:t>
            </w:r>
          </w:p>
        </w:tc>
        <w:tc>
          <w:tcPr>
            <w:tcW w:w="2358" w:type="pct"/>
            <w:tcBorders>
              <w:top w:val="nil"/>
              <w:left w:val="nil"/>
              <w:bottom w:val="nil"/>
              <w:right w:val="nil"/>
            </w:tcBorders>
            <w:shd w:val="clear" w:color="auto" w:fill="auto"/>
            <w:vAlign w:val="bottom"/>
            <w:hideMark/>
          </w:tcPr>
          <w:p w14:paraId="50862BB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Education</w:t>
            </w:r>
          </w:p>
        </w:tc>
        <w:tc>
          <w:tcPr>
            <w:tcW w:w="567" w:type="pct"/>
            <w:tcBorders>
              <w:top w:val="nil"/>
              <w:left w:val="nil"/>
              <w:bottom w:val="nil"/>
              <w:right w:val="nil"/>
            </w:tcBorders>
            <w:shd w:val="clear" w:color="auto" w:fill="auto"/>
            <w:noWrap/>
            <w:vAlign w:val="bottom"/>
            <w:hideMark/>
          </w:tcPr>
          <w:p w14:paraId="4647049C"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5,850</w:t>
            </w:r>
          </w:p>
        </w:tc>
        <w:tc>
          <w:tcPr>
            <w:tcW w:w="539" w:type="pct"/>
            <w:tcBorders>
              <w:top w:val="nil"/>
              <w:left w:val="nil"/>
              <w:bottom w:val="nil"/>
              <w:right w:val="nil"/>
            </w:tcBorders>
            <w:shd w:val="clear" w:color="auto" w:fill="auto"/>
            <w:vAlign w:val="bottom"/>
            <w:hideMark/>
          </w:tcPr>
          <w:p w14:paraId="2D88B050"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6.5</w:t>
            </w:r>
          </w:p>
        </w:tc>
        <w:tc>
          <w:tcPr>
            <w:tcW w:w="567" w:type="pct"/>
            <w:tcBorders>
              <w:top w:val="nil"/>
              <w:left w:val="nil"/>
              <w:bottom w:val="nil"/>
              <w:right w:val="nil"/>
            </w:tcBorders>
            <w:shd w:val="clear" w:color="auto" w:fill="auto"/>
            <w:noWrap/>
            <w:vAlign w:val="bottom"/>
            <w:hideMark/>
          </w:tcPr>
          <w:p w14:paraId="6FE0A62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4.6</w:t>
            </w:r>
          </w:p>
        </w:tc>
      </w:tr>
      <w:tr w:rsidR="00335093" w:rsidRPr="00966BD4" w14:paraId="529711FC" w14:textId="77777777" w:rsidTr="00335093">
        <w:trPr>
          <w:trHeight w:hRule="exact" w:val="225"/>
        </w:trPr>
        <w:tc>
          <w:tcPr>
            <w:tcW w:w="625" w:type="pct"/>
            <w:tcBorders>
              <w:top w:val="nil"/>
              <w:left w:val="nil"/>
              <w:bottom w:val="nil"/>
              <w:right w:val="nil"/>
            </w:tcBorders>
            <w:shd w:val="clear" w:color="auto" w:fill="auto"/>
            <w:noWrap/>
            <w:vAlign w:val="bottom"/>
            <w:hideMark/>
          </w:tcPr>
          <w:p w14:paraId="4B4F811A"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44188D60"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H17</w:t>
            </w:r>
          </w:p>
        </w:tc>
        <w:tc>
          <w:tcPr>
            <w:tcW w:w="2358" w:type="pct"/>
            <w:tcBorders>
              <w:top w:val="nil"/>
              <w:left w:val="nil"/>
              <w:bottom w:val="nil"/>
              <w:right w:val="nil"/>
            </w:tcBorders>
            <w:shd w:val="clear" w:color="auto" w:fill="auto"/>
            <w:vAlign w:val="bottom"/>
            <w:hideMark/>
          </w:tcPr>
          <w:p w14:paraId="7CF467EC"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Health – medical and health services</w:t>
            </w:r>
          </w:p>
        </w:tc>
        <w:tc>
          <w:tcPr>
            <w:tcW w:w="567" w:type="pct"/>
            <w:tcBorders>
              <w:top w:val="nil"/>
              <w:left w:val="nil"/>
              <w:bottom w:val="nil"/>
              <w:right w:val="nil"/>
            </w:tcBorders>
            <w:shd w:val="clear" w:color="auto" w:fill="auto"/>
            <w:noWrap/>
            <w:vAlign w:val="bottom"/>
            <w:hideMark/>
          </w:tcPr>
          <w:p w14:paraId="4743D6F3"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5,000</w:t>
            </w:r>
          </w:p>
        </w:tc>
        <w:tc>
          <w:tcPr>
            <w:tcW w:w="539" w:type="pct"/>
            <w:tcBorders>
              <w:top w:val="nil"/>
              <w:left w:val="nil"/>
              <w:bottom w:val="nil"/>
              <w:right w:val="nil"/>
            </w:tcBorders>
            <w:shd w:val="clear" w:color="auto" w:fill="auto"/>
            <w:vAlign w:val="bottom"/>
            <w:hideMark/>
          </w:tcPr>
          <w:p w14:paraId="1099F8D4"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2.3</w:t>
            </w:r>
          </w:p>
        </w:tc>
        <w:tc>
          <w:tcPr>
            <w:tcW w:w="567" w:type="pct"/>
            <w:tcBorders>
              <w:top w:val="nil"/>
              <w:left w:val="nil"/>
              <w:bottom w:val="nil"/>
              <w:right w:val="nil"/>
            </w:tcBorders>
            <w:shd w:val="clear" w:color="auto" w:fill="auto"/>
            <w:noWrap/>
            <w:vAlign w:val="bottom"/>
            <w:hideMark/>
          </w:tcPr>
          <w:p w14:paraId="7DEB9A9A"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7.0</w:t>
            </w:r>
          </w:p>
        </w:tc>
      </w:tr>
      <w:tr w:rsidR="00335093" w:rsidRPr="00966BD4" w14:paraId="32FAE287" w14:textId="77777777" w:rsidTr="00335093">
        <w:trPr>
          <w:trHeight w:hRule="exact" w:val="225"/>
        </w:trPr>
        <w:tc>
          <w:tcPr>
            <w:tcW w:w="625" w:type="pct"/>
            <w:tcBorders>
              <w:top w:val="nil"/>
              <w:left w:val="nil"/>
              <w:bottom w:val="nil"/>
              <w:right w:val="nil"/>
            </w:tcBorders>
            <w:shd w:val="clear" w:color="auto" w:fill="auto"/>
            <w:noWrap/>
            <w:vAlign w:val="bottom"/>
            <w:hideMark/>
          </w:tcPr>
          <w:p w14:paraId="0899DD1F"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11C4A94F"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B85</w:t>
            </w:r>
          </w:p>
        </w:tc>
        <w:tc>
          <w:tcPr>
            <w:tcW w:w="2358" w:type="pct"/>
            <w:tcBorders>
              <w:top w:val="nil"/>
              <w:left w:val="nil"/>
              <w:bottom w:val="nil"/>
              <w:right w:val="nil"/>
            </w:tcBorders>
            <w:shd w:val="clear" w:color="auto" w:fill="auto"/>
            <w:vAlign w:val="bottom"/>
            <w:hideMark/>
          </w:tcPr>
          <w:p w14:paraId="409FF44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Simplified depreciation rules</w:t>
            </w:r>
          </w:p>
        </w:tc>
        <w:tc>
          <w:tcPr>
            <w:tcW w:w="567" w:type="pct"/>
            <w:tcBorders>
              <w:top w:val="nil"/>
              <w:left w:val="nil"/>
              <w:bottom w:val="nil"/>
              <w:right w:val="nil"/>
            </w:tcBorders>
            <w:shd w:val="clear" w:color="auto" w:fill="auto"/>
            <w:noWrap/>
            <w:vAlign w:val="bottom"/>
            <w:hideMark/>
          </w:tcPr>
          <w:p w14:paraId="536ADA39"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4,800</w:t>
            </w:r>
          </w:p>
        </w:tc>
        <w:tc>
          <w:tcPr>
            <w:tcW w:w="539" w:type="pct"/>
            <w:tcBorders>
              <w:top w:val="nil"/>
              <w:left w:val="nil"/>
              <w:bottom w:val="nil"/>
              <w:right w:val="nil"/>
            </w:tcBorders>
            <w:shd w:val="clear" w:color="auto" w:fill="auto"/>
            <w:vAlign w:val="bottom"/>
            <w:hideMark/>
          </w:tcPr>
          <w:p w14:paraId="4542B0C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117.5</w:t>
            </w:r>
          </w:p>
        </w:tc>
        <w:tc>
          <w:tcPr>
            <w:tcW w:w="567" w:type="pct"/>
            <w:tcBorders>
              <w:top w:val="nil"/>
              <w:left w:val="nil"/>
              <w:bottom w:val="nil"/>
              <w:right w:val="nil"/>
            </w:tcBorders>
            <w:shd w:val="clear" w:color="auto" w:fill="auto"/>
            <w:noWrap/>
            <w:vAlign w:val="bottom"/>
            <w:hideMark/>
          </w:tcPr>
          <w:p w14:paraId="2A845D4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N/A</w:t>
            </w:r>
          </w:p>
        </w:tc>
      </w:tr>
      <w:tr w:rsidR="00335093" w:rsidRPr="00966BD4" w14:paraId="1C8A856E" w14:textId="77777777" w:rsidTr="00335093">
        <w:trPr>
          <w:trHeight w:hRule="exact" w:val="225"/>
        </w:trPr>
        <w:tc>
          <w:tcPr>
            <w:tcW w:w="625" w:type="pct"/>
            <w:tcBorders>
              <w:top w:val="nil"/>
              <w:left w:val="nil"/>
              <w:bottom w:val="nil"/>
              <w:right w:val="nil"/>
            </w:tcBorders>
            <w:shd w:val="clear" w:color="auto" w:fill="auto"/>
            <w:noWrap/>
            <w:vAlign w:val="bottom"/>
            <w:hideMark/>
          </w:tcPr>
          <w:p w14:paraId="5DD1334D"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3DA9FE2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H2</w:t>
            </w:r>
          </w:p>
        </w:tc>
        <w:tc>
          <w:tcPr>
            <w:tcW w:w="2358" w:type="pct"/>
            <w:tcBorders>
              <w:top w:val="nil"/>
              <w:left w:val="nil"/>
              <w:bottom w:val="nil"/>
              <w:right w:val="nil"/>
            </w:tcBorders>
            <w:shd w:val="clear" w:color="auto" w:fill="auto"/>
            <w:vAlign w:val="bottom"/>
            <w:hideMark/>
          </w:tcPr>
          <w:p w14:paraId="3D879DDE"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Financial supplies – input taxed treatment</w:t>
            </w:r>
          </w:p>
        </w:tc>
        <w:tc>
          <w:tcPr>
            <w:tcW w:w="567" w:type="pct"/>
            <w:tcBorders>
              <w:top w:val="nil"/>
              <w:left w:val="nil"/>
              <w:bottom w:val="nil"/>
              <w:right w:val="nil"/>
            </w:tcBorders>
            <w:shd w:val="clear" w:color="auto" w:fill="auto"/>
            <w:noWrap/>
            <w:vAlign w:val="bottom"/>
            <w:hideMark/>
          </w:tcPr>
          <w:p w14:paraId="16C031FB"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4,650</w:t>
            </w:r>
          </w:p>
        </w:tc>
        <w:tc>
          <w:tcPr>
            <w:tcW w:w="539" w:type="pct"/>
            <w:tcBorders>
              <w:top w:val="nil"/>
              <w:left w:val="nil"/>
              <w:bottom w:val="nil"/>
              <w:right w:val="nil"/>
            </w:tcBorders>
            <w:shd w:val="clear" w:color="auto" w:fill="auto"/>
            <w:vAlign w:val="bottom"/>
            <w:hideMark/>
          </w:tcPr>
          <w:p w14:paraId="664A25F9" w14:textId="57365EB2"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1.7</w:t>
            </w:r>
          </w:p>
        </w:tc>
        <w:tc>
          <w:tcPr>
            <w:tcW w:w="567" w:type="pct"/>
            <w:tcBorders>
              <w:top w:val="nil"/>
              <w:left w:val="nil"/>
              <w:bottom w:val="nil"/>
              <w:right w:val="nil"/>
            </w:tcBorders>
            <w:shd w:val="clear" w:color="auto" w:fill="auto"/>
            <w:noWrap/>
            <w:vAlign w:val="bottom"/>
            <w:hideMark/>
          </w:tcPr>
          <w:p w14:paraId="459FBFB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7.5</w:t>
            </w:r>
          </w:p>
        </w:tc>
      </w:tr>
      <w:tr w:rsidR="00335093" w:rsidRPr="00966BD4" w14:paraId="543BD0F7" w14:textId="77777777" w:rsidTr="00335093">
        <w:trPr>
          <w:trHeight w:hRule="exact" w:val="225"/>
        </w:trPr>
        <w:tc>
          <w:tcPr>
            <w:tcW w:w="625" w:type="pct"/>
            <w:tcBorders>
              <w:top w:val="nil"/>
              <w:left w:val="nil"/>
              <w:bottom w:val="nil"/>
              <w:right w:val="nil"/>
            </w:tcBorders>
            <w:shd w:val="clear" w:color="auto" w:fill="auto"/>
            <w:noWrap/>
            <w:vAlign w:val="bottom"/>
            <w:hideMark/>
          </w:tcPr>
          <w:p w14:paraId="092D9E69"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3622E6A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B59</w:t>
            </w:r>
          </w:p>
        </w:tc>
        <w:tc>
          <w:tcPr>
            <w:tcW w:w="2358" w:type="pct"/>
            <w:tcBorders>
              <w:top w:val="nil"/>
              <w:left w:val="nil"/>
              <w:bottom w:val="nil"/>
              <w:right w:val="nil"/>
            </w:tcBorders>
            <w:shd w:val="clear" w:color="auto" w:fill="auto"/>
            <w:vAlign w:val="bottom"/>
            <w:hideMark/>
          </w:tcPr>
          <w:p w14:paraId="73F6891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Lower company tax rate</w:t>
            </w:r>
          </w:p>
        </w:tc>
        <w:tc>
          <w:tcPr>
            <w:tcW w:w="567" w:type="pct"/>
            <w:tcBorders>
              <w:top w:val="nil"/>
              <w:left w:val="nil"/>
              <w:bottom w:val="nil"/>
              <w:right w:val="nil"/>
            </w:tcBorders>
            <w:shd w:val="clear" w:color="auto" w:fill="auto"/>
            <w:noWrap/>
            <w:vAlign w:val="bottom"/>
            <w:hideMark/>
          </w:tcPr>
          <w:p w14:paraId="53F58EE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3,600</w:t>
            </w:r>
          </w:p>
        </w:tc>
        <w:tc>
          <w:tcPr>
            <w:tcW w:w="539" w:type="pct"/>
            <w:tcBorders>
              <w:top w:val="nil"/>
              <w:left w:val="nil"/>
              <w:bottom w:val="nil"/>
              <w:right w:val="nil"/>
            </w:tcBorders>
            <w:shd w:val="clear" w:color="auto" w:fill="auto"/>
            <w:vAlign w:val="bottom"/>
            <w:hideMark/>
          </w:tcPr>
          <w:p w14:paraId="0E77BDBD"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52.5</w:t>
            </w:r>
          </w:p>
        </w:tc>
        <w:tc>
          <w:tcPr>
            <w:tcW w:w="567" w:type="pct"/>
            <w:tcBorders>
              <w:top w:val="nil"/>
              <w:left w:val="nil"/>
              <w:bottom w:val="nil"/>
              <w:right w:val="nil"/>
            </w:tcBorders>
            <w:shd w:val="clear" w:color="auto" w:fill="auto"/>
            <w:noWrap/>
            <w:vAlign w:val="bottom"/>
            <w:hideMark/>
          </w:tcPr>
          <w:p w14:paraId="22B6A745" w14:textId="169235BC"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1.3</w:t>
            </w:r>
          </w:p>
        </w:tc>
      </w:tr>
      <w:tr w:rsidR="00335093" w:rsidRPr="00966BD4" w14:paraId="770B9A8D" w14:textId="77777777" w:rsidTr="00335093">
        <w:trPr>
          <w:trHeight w:hRule="exact" w:val="225"/>
        </w:trPr>
        <w:tc>
          <w:tcPr>
            <w:tcW w:w="625" w:type="pct"/>
            <w:tcBorders>
              <w:top w:val="nil"/>
              <w:left w:val="nil"/>
              <w:bottom w:val="nil"/>
              <w:right w:val="nil"/>
            </w:tcBorders>
            <w:shd w:val="clear" w:color="auto" w:fill="auto"/>
            <w:noWrap/>
            <w:vAlign w:val="bottom"/>
            <w:hideMark/>
          </w:tcPr>
          <w:p w14:paraId="15CC77D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01E19FE"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A26</w:t>
            </w:r>
          </w:p>
        </w:tc>
        <w:tc>
          <w:tcPr>
            <w:tcW w:w="2358" w:type="pct"/>
            <w:tcBorders>
              <w:top w:val="nil"/>
              <w:left w:val="nil"/>
              <w:bottom w:val="nil"/>
              <w:right w:val="nil"/>
            </w:tcBorders>
            <w:shd w:val="clear" w:color="auto" w:fill="auto"/>
            <w:vAlign w:val="bottom"/>
            <w:hideMark/>
          </w:tcPr>
          <w:p w14:paraId="7DD8098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of Child Care Assistance payments</w:t>
            </w:r>
          </w:p>
        </w:tc>
        <w:tc>
          <w:tcPr>
            <w:tcW w:w="567" w:type="pct"/>
            <w:tcBorders>
              <w:top w:val="nil"/>
              <w:left w:val="nil"/>
              <w:bottom w:val="nil"/>
              <w:right w:val="nil"/>
            </w:tcBorders>
            <w:shd w:val="clear" w:color="auto" w:fill="auto"/>
            <w:noWrap/>
            <w:vAlign w:val="bottom"/>
            <w:hideMark/>
          </w:tcPr>
          <w:p w14:paraId="63F25B3B"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2,900</w:t>
            </w:r>
          </w:p>
        </w:tc>
        <w:tc>
          <w:tcPr>
            <w:tcW w:w="539" w:type="pct"/>
            <w:tcBorders>
              <w:top w:val="nil"/>
              <w:left w:val="nil"/>
              <w:bottom w:val="nil"/>
              <w:right w:val="nil"/>
            </w:tcBorders>
            <w:shd w:val="clear" w:color="auto" w:fill="auto"/>
            <w:vAlign w:val="bottom"/>
            <w:hideMark/>
          </w:tcPr>
          <w:p w14:paraId="63A2C28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8.2</w:t>
            </w:r>
          </w:p>
        </w:tc>
        <w:tc>
          <w:tcPr>
            <w:tcW w:w="567" w:type="pct"/>
            <w:tcBorders>
              <w:top w:val="nil"/>
              <w:left w:val="nil"/>
              <w:bottom w:val="nil"/>
              <w:right w:val="nil"/>
            </w:tcBorders>
            <w:shd w:val="clear" w:color="auto" w:fill="auto"/>
            <w:noWrap/>
            <w:vAlign w:val="bottom"/>
            <w:hideMark/>
          </w:tcPr>
          <w:p w14:paraId="760D4B3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8.9</w:t>
            </w:r>
          </w:p>
        </w:tc>
      </w:tr>
      <w:tr w:rsidR="00335093" w:rsidRPr="00966BD4" w14:paraId="04228920" w14:textId="77777777" w:rsidTr="00335093">
        <w:trPr>
          <w:trHeight w:hRule="exact" w:val="450"/>
        </w:trPr>
        <w:tc>
          <w:tcPr>
            <w:tcW w:w="625" w:type="pct"/>
            <w:tcBorders>
              <w:top w:val="nil"/>
              <w:left w:val="nil"/>
              <w:bottom w:val="nil"/>
              <w:right w:val="nil"/>
            </w:tcBorders>
            <w:shd w:val="clear" w:color="auto" w:fill="auto"/>
            <w:noWrap/>
            <w:vAlign w:val="bottom"/>
            <w:hideMark/>
          </w:tcPr>
          <w:p w14:paraId="1335132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762B8EDC"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B11</w:t>
            </w:r>
          </w:p>
        </w:tc>
        <w:tc>
          <w:tcPr>
            <w:tcW w:w="2358" w:type="pct"/>
            <w:tcBorders>
              <w:top w:val="nil"/>
              <w:left w:val="nil"/>
              <w:bottom w:val="nil"/>
              <w:right w:val="nil"/>
            </w:tcBorders>
            <w:shd w:val="clear" w:color="auto" w:fill="auto"/>
            <w:vAlign w:val="bottom"/>
            <w:hideMark/>
          </w:tcPr>
          <w:p w14:paraId="00147EC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from interest withholding tax on certain securities</w:t>
            </w:r>
          </w:p>
        </w:tc>
        <w:tc>
          <w:tcPr>
            <w:tcW w:w="567" w:type="pct"/>
            <w:tcBorders>
              <w:top w:val="nil"/>
              <w:left w:val="nil"/>
              <w:bottom w:val="nil"/>
              <w:right w:val="nil"/>
            </w:tcBorders>
            <w:shd w:val="clear" w:color="auto" w:fill="auto"/>
            <w:noWrap/>
            <w:vAlign w:val="bottom"/>
            <w:hideMark/>
          </w:tcPr>
          <w:p w14:paraId="2D4FEDF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2,520</w:t>
            </w:r>
          </w:p>
        </w:tc>
        <w:tc>
          <w:tcPr>
            <w:tcW w:w="539" w:type="pct"/>
            <w:tcBorders>
              <w:top w:val="nil"/>
              <w:left w:val="nil"/>
              <w:bottom w:val="nil"/>
              <w:right w:val="nil"/>
            </w:tcBorders>
            <w:shd w:val="clear" w:color="auto" w:fill="auto"/>
            <w:vAlign w:val="bottom"/>
            <w:hideMark/>
          </w:tcPr>
          <w:p w14:paraId="6E68B827" w14:textId="41126632"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5.4</w:t>
            </w:r>
          </w:p>
        </w:tc>
        <w:tc>
          <w:tcPr>
            <w:tcW w:w="567" w:type="pct"/>
            <w:tcBorders>
              <w:top w:val="nil"/>
              <w:left w:val="nil"/>
              <w:bottom w:val="nil"/>
              <w:right w:val="nil"/>
            </w:tcBorders>
            <w:shd w:val="clear" w:color="auto" w:fill="auto"/>
            <w:noWrap/>
            <w:vAlign w:val="bottom"/>
            <w:hideMark/>
          </w:tcPr>
          <w:p w14:paraId="426DAA14"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0.5</w:t>
            </w:r>
          </w:p>
        </w:tc>
      </w:tr>
      <w:tr w:rsidR="00335093" w:rsidRPr="00966BD4" w14:paraId="4EB887F8" w14:textId="77777777" w:rsidTr="00335093">
        <w:trPr>
          <w:trHeight w:hRule="exact" w:val="450"/>
        </w:trPr>
        <w:tc>
          <w:tcPr>
            <w:tcW w:w="625" w:type="pct"/>
            <w:tcBorders>
              <w:top w:val="nil"/>
              <w:left w:val="nil"/>
              <w:bottom w:val="nil"/>
              <w:right w:val="nil"/>
            </w:tcBorders>
            <w:shd w:val="clear" w:color="auto" w:fill="auto"/>
            <w:noWrap/>
            <w:vAlign w:val="bottom"/>
            <w:hideMark/>
          </w:tcPr>
          <w:p w14:paraId="3BF34B85"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FBT</w:t>
            </w:r>
          </w:p>
        </w:tc>
        <w:tc>
          <w:tcPr>
            <w:tcW w:w="344" w:type="pct"/>
            <w:tcBorders>
              <w:top w:val="nil"/>
              <w:left w:val="nil"/>
              <w:bottom w:val="nil"/>
              <w:right w:val="nil"/>
            </w:tcBorders>
            <w:shd w:val="clear" w:color="auto" w:fill="auto"/>
            <w:noWrap/>
            <w:vAlign w:val="bottom"/>
            <w:hideMark/>
          </w:tcPr>
          <w:p w14:paraId="7FA4FE4F"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D15</w:t>
            </w:r>
          </w:p>
        </w:tc>
        <w:tc>
          <w:tcPr>
            <w:tcW w:w="2358" w:type="pct"/>
            <w:tcBorders>
              <w:top w:val="nil"/>
              <w:left w:val="nil"/>
              <w:bottom w:val="nil"/>
              <w:right w:val="nil"/>
            </w:tcBorders>
            <w:shd w:val="clear" w:color="auto" w:fill="auto"/>
            <w:vAlign w:val="bottom"/>
            <w:hideMark/>
          </w:tcPr>
          <w:p w14:paraId="77BD2A7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for public benevolent institutions (excluding hospitals)</w:t>
            </w:r>
          </w:p>
        </w:tc>
        <w:tc>
          <w:tcPr>
            <w:tcW w:w="567" w:type="pct"/>
            <w:tcBorders>
              <w:top w:val="nil"/>
              <w:left w:val="nil"/>
              <w:bottom w:val="nil"/>
              <w:right w:val="nil"/>
            </w:tcBorders>
            <w:shd w:val="clear" w:color="auto" w:fill="auto"/>
            <w:noWrap/>
            <w:vAlign w:val="bottom"/>
            <w:hideMark/>
          </w:tcPr>
          <w:p w14:paraId="2F12E42F"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2,450</w:t>
            </w:r>
          </w:p>
        </w:tc>
        <w:tc>
          <w:tcPr>
            <w:tcW w:w="539" w:type="pct"/>
            <w:tcBorders>
              <w:top w:val="nil"/>
              <w:left w:val="nil"/>
              <w:bottom w:val="nil"/>
              <w:right w:val="nil"/>
            </w:tcBorders>
            <w:shd w:val="clear" w:color="auto" w:fill="auto"/>
            <w:vAlign w:val="bottom"/>
            <w:hideMark/>
          </w:tcPr>
          <w:p w14:paraId="02C8A789"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6.7</w:t>
            </w:r>
          </w:p>
        </w:tc>
        <w:tc>
          <w:tcPr>
            <w:tcW w:w="567" w:type="pct"/>
            <w:tcBorders>
              <w:top w:val="nil"/>
              <w:left w:val="nil"/>
              <w:bottom w:val="nil"/>
              <w:right w:val="nil"/>
            </w:tcBorders>
            <w:shd w:val="clear" w:color="auto" w:fill="auto"/>
            <w:noWrap/>
            <w:vAlign w:val="bottom"/>
            <w:hideMark/>
          </w:tcPr>
          <w:p w14:paraId="66CFD8AE"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3.2</w:t>
            </w:r>
          </w:p>
        </w:tc>
      </w:tr>
      <w:tr w:rsidR="00335093" w:rsidRPr="00966BD4" w14:paraId="0E2D8FEE" w14:textId="77777777" w:rsidTr="00335093">
        <w:trPr>
          <w:trHeight w:hRule="exact" w:val="675"/>
        </w:trPr>
        <w:tc>
          <w:tcPr>
            <w:tcW w:w="625" w:type="pct"/>
            <w:tcBorders>
              <w:top w:val="nil"/>
              <w:left w:val="nil"/>
              <w:bottom w:val="nil"/>
              <w:right w:val="nil"/>
            </w:tcBorders>
            <w:shd w:val="clear" w:color="auto" w:fill="auto"/>
            <w:noWrap/>
            <w:vAlign w:val="bottom"/>
            <w:hideMark/>
          </w:tcPr>
          <w:p w14:paraId="18451022"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Super</w:t>
            </w:r>
          </w:p>
        </w:tc>
        <w:tc>
          <w:tcPr>
            <w:tcW w:w="344" w:type="pct"/>
            <w:tcBorders>
              <w:top w:val="nil"/>
              <w:left w:val="nil"/>
              <w:bottom w:val="nil"/>
              <w:right w:val="nil"/>
            </w:tcBorders>
            <w:shd w:val="clear" w:color="auto" w:fill="auto"/>
            <w:noWrap/>
            <w:vAlign w:val="bottom"/>
            <w:hideMark/>
          </w:tcPr>
          <w:p w14:paraId="2C88B66E"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C6</w:t>
            </w:r>
          </w:p>
        </w:tc>
        <w:tc>
          <w:tcPr>
            <w:tcW w:w="2358" w:type="pct"/>
            <w:tcBorders>
              <w:top w:val="nil"/>
              <w:left w:val="nil"/>
              <w:bottom w:val="nil"/>
              <w:right w:val="nil"/>
            </w:tcBorders>
            <w:shd w:val="clear" w:color="auto" w:fill="auto"/>
            <w:vAlign w:val="bottom"/>
            <w:hideMark/>
          </w:tcPr>
          <w:p w14:paraId="13CB57C8"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Deductibility of life and total and permanent disability insurance premiums provided inside of superannuation</w:t>
            </w:r>
          </w:p>
        </w:tc>
        <w:tc>
          <w:tcPr>
            <w:tcW w:w="567" w:type="pct"/>
            <w:tcBorders>
              <w:top w:val="nil"/>
              <w:left w:val="nil"/>
              <w:bottom w:val="nil"/>
              <w:right w:val="nil"/>
            </w:tcBorders>
            <w:shd w:val="clear" w:color="auto" w:fill="auto"/>
            <w:noWrap/>
            <w:vAlign w:val="bottom"/>
            <w:hideMark/>
          </w:tcPr>
          <w:p w14:paraId="7AF34182"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2,380</w:t>
            </w:r>
          </w:p>
        </w:tc>
        <w:tc>
          <w:tcPr>
            <w:tcW w:w="539" w:type="pct"/>
            <w:tcBorders>
              <w:top w:val="nil"/>
              <w:left w:val="nil"/>
              <w:bottom w:val="nil"/>
              <w:right w:val="nil"/>
            </w:tcBorders>
            <w:shd w:val="clear" w:color="auto" w:fill="auto"/>
            <w:vAlign w:val="bottom"/>
            <w:hideMark/>
          </w:tcPr>
          <w:p w14:paraId="61251EB9" w14:textId="3AA35B2C"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3.2</w:t>
            </w:r>
          </w:p>
        </w:tc>
        <w:tc>
          <w:tcPr>
            <w:tcW w:w="567" w:type="pct"/>
            <w:tcBorders>
              <w:top w:val="nil"/>
              <w:left w:val="nil"/>
              <w:bottom w:val="nil"/>
              <w:right w:val="nil"/>
            </w:tcBorders>
            <w:shd w:val="clear" w:color="auto" w:fill="auto"/>
            <w:noWrap/>
            <w:vAlign w:val="bottom"/>
            <w:hideMark/>
          </w:tcPr>
          <w:p w14:paraId="68187AD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4.3</w:t>
            </w:r>
          </w:p>
        </w:tc>
      </w:tr>
      <w:tr w:rsidR="00335093" w:rsidRPr="00966BD4" w14:paraId="5D72901E" w14:textId="77777777" w:rsidTr="00335093">
        <w:trPr>
          <w:trHeight w:hRule="exact" w:val="450"/>
        </w:trPr>
        <w:tc>
          <w:tcPr>
            <w:tcW w:w="625" w:type="pct"/>
            <w:tcBorders>
              <w:top w:val="nil"/>
              <w:left w:val="nil"/>
              <w:bottom w:val="nil"/>
              <w:right w:val="nil"/>
            </w:tcBorders>
            <w:shd w:val="clear" w:color="auto" w:fill="auto"/>
            <w:noWrap/>
            <w:vAlign w:val="bottom"/>
            <w:hideMark/>
          </w:tcPr>
          <w:p w14:paraId="04F760AD"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21447DB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A19</w:t>
            </w:r>
          </w:p>
        </w:tc>
        <w:tc>
          <w:tcPr>
            <w:tcW w:w="2358" w:type="pct"/>
            <w:tcBorders>
              <w:top w:val="nil"/>
              <w:left w:val="nil"/>
              <w:bottom w:val="nil"/>
              <w:right w:val="nil"/>
            </w:tcBorders>
            <w:shd w:val="clear" w:color="auto" w:fill="auto"/>
            <w:vAlign w:val="bottom"/>
            <w:hideMark/>
          </w:tcPr>
          <w:p w14:paraId="5B972659" w14:textId="5C31FECF"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Medicare levy exemption for residents with taxable income below the low</w:t>
            </w:r>
            <w:r w:rsidR="001B77CF">
              <w:rPr>
                <w:rFonts w:ascii="Arial" w:hAnsi="Arial" w:cs="Arial"/>
                <w:sz w:val="16"/>
                <w:szCs w:val="16"/>
              </w:rPr>
              <w:noBreakHyphen/>
            </w:r>
            <w:r w:rsidRPr="00966BD4">
              <w:rPr>
                <w:rFonts w:ascii="Arial" w:hAnsi="Arial" w:cs="Arial"/>
                <w:sz w:val="16"/>
                <w:szCs w:val="16"/>
              </w:rPr>
              <w:t>income thresholds</w:t>
            </w:r>
          </w:p>
        </w:tc>
        <w:tc>
          <w:tcPr>
            <w:tcW w:w="567" w:type="pct"/>
            <w:tcBorders>
              <w:top w:val="nil"/>
              <w:left w:val="nil"/>
              <w:bottom w:val="nil"/>
              <w:right w:val="nil"/>
            </w:tcBorders>
            <w:shd w:val="clear" w:color="auto" w:fill="auto"/>
            <w:noWrap/>
            <w:vAlign w:val="bottom"/>
            <w:hideMark/>
          </w:tcPr>
          <w:p w14:paraId="50A71ADE"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2,050</w:t>
            </w:r>
          </w:p>
        </w:tc>
        <w:tc>
          <w:tcPr>
            <w:tcW w:w="539" w:type="pct"/>
            <w:tcBorders>
              <w:top w:val="nil"/>
              <w:left w:val="nil"/>
              <w:bottom w:val="nil"/>
              <w:right w:val="nil"/>
            </w:tcBorders>
            <w:shd w:val="clear" w:color="auto" w:fill="auto"/>
            <w:vAlign w:val="bottom"/>
            <w:hideMark/>
          </w:tcPr>
          <w:p w14:paraId="35BE9E20"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1.7</w:t>
            </w:r>
          </w:p>
        </w:tc>
        <w:tc>
          <w:tcPr>
            <w:tcW w:w="567" w:type="pct"/>
            <w:tcBorders>
              <w:top w:val="nil"/>
              <w:left w:val="nil"/>
              <w:bottom w:val="nil"/>
              <w:right w:val="nil"/>
            </w:tcBorders>
            <w:shd w:val="clear" w:color="auto" w:fill="auto"/>
            <w:noWrap/>
            <w:vAlign w:val="bottom"/>
            <w:hideMark/>
          </w:tcPr>
          <w:p w14:paraId="6CC5058B"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1.2</w:t>
            </w:r>
          </w:p>
        </w:tc>
      </w:tr>
      <w:tr w:rsidR="00335093" w:rsidRPr="00966BD4" w14:paraId="736F1842" w14:textId="77777777" w:rsidTr="00335093">
        <w:trPr>
          <w:trHeight w:hRule="exact" w:val="450"/>
        </w:trPr>
        <w:tc>
          <w:tcPr>
            <w:tcW w:w="625" w:type="pct"/>
            <w:tcBorders>
              <w:top w:val="nil"/>
              <w:left w:val="nil"/>
              <w:bottom w:val="nil"/>
              <w:right w:val="nil"/>
            </w:tcBorders>
            <w:shd w:val="clear" w:color="auto" w:fill="auto"/>
            <w:noWrap/>
            <w:vAlign w:val="bottom"/>
            <w:hideMark/>
          </w:tcPr>
          <w:p w14:paraId="0F0FBB0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FBT</w:t>
            </w:r>
          </w:p>
        </w:tc>
        <w:tc>
          <w:tcPr>
            <w:tcW w:w="344" w:type="pct"/>
            <w:tcBorders>
              <w:top w:val="nil"/>
              <w:left w:val="nil"/>
              <w:bottom w:val="nil"/>
              <w:right w:val="nil"/>
            </w:tcBorders>
            <w:shd w:val="clear" w:color="auto" w:fill="auto"/>
            <w:noWrap/>
            <w:vAlign w:val="bottom"/>
            <w:hideMark/>
          </w:tcPr>
          <w:p w14:paraId="69868CC6"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D11</w:t>
            </w:r>
          </w:p>
        </w:tc>
        <w:tc>
          <w:tcPr>
            <w:tcW w:w="2358" w:type="pct"/>
            <w:tcBorders>
              <w:top w:val="nil"/>
              <w:left w:val="nil"/>
              <w:bottom w:val="nil"/>
              <w:right w:val="nil"/>
            </w:tcBorders>
            <w:shd w:val="clear" w:color="auto" w:fill="auto"/>
            <w:vAlign w:val="bottom"/>
            <w:hideMark/>
          </w:tcPr>
          <w:p w14:paraId="69D37F97" w14:textId="3483E6D3"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for public and not</w:t>
            </w:r>
            <w:r w:rsidR="001B77CF">
              <w:rPr>
                <w:rFonts w:ascii="Arial" w:hAnsi="Arial" w:cs="Arial"/>
                <w:sz w:val="16"/>
                <w:szCs w:val="16"/>
              </w:rPr>
              <w:noBreakHyphen/>
            </w:r>
            <w:r w:rsidRPr="00966BD4">
              <w:rPr>
                <w:rFonts w:ascii="Arial" w:hAnsi="Arial" w:cs="Arial"/>
                <w:sz w:val="16"/>
                <w:szCs w:val="16"/>
              </w:rPr>
              <w:t>for</w:t>
            </w:r>
            <w:r w:rsidR="001B77CF">
              <w:rPr>
                <w:rFonts w:ascii="Arial" w:hAnsi="Arial" w:cs="Arial"/>
                <w:sz w:val="16"/>
                <w:szCs w:val="16"/>
              </w:rPr>
              <w:noBreakHyphen/>
            </w:r>
            <w:r w:rsidRPr="00966BD4">
              <w:rPr>
                <w:rFonts w:ascii="Arial" w:hAnsi="Arial" w:cs="Arial"/>
                <w:sz w:val="16"/>
                <w:szCs w:val="16"/>
              </w:rPr>
              <w:t>profit hospitals and public ambulance services</w:t>
            </w:r>
          </w:p>
        </w:tc>
        <w:tc>
          <w:tcPr>
            <w:tcW w:w="567" w:type="pct"/>
            <w:tcBorders>
              <w:top w:val="nil"/>
              <w:left w:val="nil"/>
              <w:bottom w:val="nil"/>
              <w:right w:val="nil"/>
            </w:tcBorders>
            <w:shd w:val="clear" w:color="auto" w:fill="auto"/>
            <w:noWrap/>
            <w:vAlign w:val="bottom"/>
            <w:hideMark/>
          </w:tcPr>
          <w:p w14:paraId="71D2A0C4"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2,000</w:t>
            </w:r>
          </w:p>
        </w:tc>
        <w:tc>
          <w:tcPr>
            <w:tcW w:w="539" w:type="pct"/>
            <w:tcBorders>
              <w:top w:val="nil"/>
              <w:left w:val="nil"/>
              <w:bottom w:val="nil"/>
              <w:right w:val="nil"/>
            </w:tcBorders>
            <w:shd w:val="clear" w:color="auto" w:fill="auto"/>
            <w:vAlign w:val="bottom"/>
            <w:hideMark/>
          </w:tcPr>
          <w:p w14:paraId="386E6209"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3.9</w:t>
            </w:r>
          </w:p>
        </w:tc>
        <w:tc>
          <w:tcPr>
            <w:tcW w:w="567" w:type="pct"/>
            <w:tcBorders>
              <w:top w:val="nil"/>
              <w:left w:val="nil"/>
              <w:bottom w:val="nil"/>
              <w:right w:val="nil"/>
            </w:tcBorders>
            <w:shd w:val="clear" w:color="auto" w:fill="auto"/>
            <w:noWrap/>
            <w:vAlign w:val="bottom"/>
            <w:hideMark/>
          </w:tcPr>
          <w:p w14:paraId="7DB3BD3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2.0</w:t>
            </w:r>
          </w:p>
        </w:tc>
      </w:tr>
      <w:tr w:rsidR="00335093" w:rsidRPr="00966BD4" w14:paraId="758BD91B" w14:textId="77777777" w:rsidTr="00335093">
        <w:trPr>
          <w:trHeight w:hRule="exact" w:val="225"/>
        </w:trPr>
        <w:tc>
          <w:tcPr>
            <w:tcW w:w="625" w:type="pct"/>
            <w:tcBorders>
              <w:top w:val="nil"/>
              <w:left w:val="nil"/>
              <w:bottom w:val="nil"/>
              <w:right w:val="nil"/>
            </w:tcBorders>
            <w:shd w:val="clear" w:color="auto" w:fill="auto"/>
            <w:noWrap/>
            <w:vAlign w:val="bottom"/>
            <w:hideMark/>
          </w:tcPr>
          <w:p w14:paraId="0802933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5D571FA"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A38</w:t>
            </w:r>
          </w:p>
        </w:tc>
        <w:tc>
          <w:tcPr>
            <w:tcW w:w="2358" w:type="pct"/>
            <w:tcBorders>
              <w:top w:val="nil"/>
              <w:left w:val="nil"/>
              <w:bottom w:val="nil"/>
              <w:right w:val="nil"/>
            </w:tcBorders>
            <w:shd w:val="clear" w:color="auto" w:fill="auto"/>
            <w:vAlign w:val="bottom"/>
            <w:hideMark/>
          </w:tcPr>
          <w:p w14:paraId="48825FFB"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Exemption of Family Tax Benefit payments</w:t>
            </w:r>
          </w:p>
        </w:tc>
        <w:tc>
          <w:tcPr>
            <w:tcW w:w="567" w:type="pct"/>
            <w:tcBorders>
              <w:top w:val="nil"/>
              <w:left w:val="nil"/>
              <w:bottom w:val="nil"/>
              <w:right w:val="nil"/>
            </w:tcBorders>
            <w:shd w:val="clear" w:color="auto" w:fill="auto"/>
            <w:noWrap/>
            <w:vAlign w:val="bottom"/>
            <w:hideMark/>
          </w:tcPr>
          <w:p w14:paraId="4CA90A0F"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1,790</w:t>
            </w:r>
          </w:p>
        </w:tc>
        <w:tc>
          <w:tcPr>
            <w:tcW w:w="539" w:type="pct"/>
            <w:tcBorders>
              <w:top w:val="nil"/>
              <w:left w:val="nil"/>
              <w:bottom w:val="nil"/>
              <w:right w:val="nil"/>
            </w:tcBorders>
            <w:shd w:val="clear" w:color="auto" w:fill="auto"/>
            <w:vAlign w:val="bottom"/>
            <w:hideMark/>
          </w:tcPr>
          <w:p w14:paraId="0BF3AE2E" w14:textId="48D13454" w:rsidR="00335093" w:rsidRPr="00966BD4" w:rsidRDefault="001B77CF" w:rsidP="00335093">
            <w:pPr>
              <w:spacing w:before="0" w:after="0" w:line="240" w:lineRule="auto"/>
              <w:jc w:val="right"/>
              <w:rPr>
                <w:rFonts w:ascii="Arial" w:hAnsi="Arial" w:cs="Arial"/>
                <w:sz w:val="16"/>
                <w:szCs w:val="16"/>
              </w:rPr>
            </w:pPr>
            <w:r>
              <w:rPr>
                <w:rFonts w:ascii="Arial" w:hAnsi="Arial" w:cs="Arial"/>
                <w:sz w:val="16"/>
                <w:szCs w:val="16"/>
              </w:rPr>
              <w:noBreakHyphen/>
            </w:r>
            <w:r w:rsidR="00335093" w:rsidRPr="00966BD4">
              <w:rPr>
                <w:rFonts w:ascii="Arial" w:hAnsi="Arial" w:cs="Arial"/>
                <w:sz w:val="16"/>
                <w:szCs w:val="16"/>
              </w:rPr>
              <w:t>4.9</w:t>
            </w:r>
          </w:p>
        </w:tc>
        <w:tc>
          <w:tcPr>
            <w:tcW w:w="567" w:type="pct"/>
            <w:tcBorders>
              <w:top w:val="nil"/>
              <w:left w:val="nil"/>
              <w:bottom w:val="nil"/>
              <w:right w:val="nil"/>
            </w:tcBorders>
            <w:shd w:val="clear" w:color="auto" w:fill="auto"/>
            <w:noWrap/>
            <w:vAlign w:val="bottom"/>
            <w:hideMark/>
          </w:tcPr>
          <w:p w14:paraId="1E6DCE30"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6.0</w:t>
            </w:r>
          </w:p>
        </w:tc>
      </w:tr>
      <w:tr w:rsidR="00335093" w:rsidRPr="00966BD4" w14:paraId="7E2DF342" w14:textId="77777777" w:rsidTr="00335093">
        <w:trPr>
          <w:trHeight w:hRule="exact" w:val="225"/>
        </w:trPr>
        <w:tc>
          <w:tcPr>
            <w:tcW w:w="625" w:type="pct"/>
            <w:tcBorders>
              <w:top w:val="nil"/>
              <w:left w:val="nil"/>
              <w:bottom w:val="nil"/>
              <w:right w:val="nil"/>
            </w:tcBorders>
            <w:shd w:val="clear" w:color="auto" w:fill="auto"/>
            <w:noWrap/>
            <w:vAlign w:val="bottom"/>
            <w:hideMark/>
          </w:tcPr>
          <w:p w14:paraId="1114E091"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8F7C29C"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B1</w:t>
            </w:r>
          </w:p>
        </w:tc>
        <w:tc>
          <w:tcPr>
            <w:tcW w:w="2358" w:type="pct"/>
            <w:tcBorders>
              <w:top w:val="nil"/>
              <w:left w:val="nil"/>
              <w:bottom w:val="nil"/>
              <w:right w:val="nil"/>
            </w:tcBorders>
            <w:shd w:val="clear" w:color="auto" w:fill="auto"/>
            <w:vAlign w:val="bottom"/>
            <w:hideMark/>
          </w:tcPr>
          <w:p w14:paraId="03F1D3C3"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Local government bodies income tax exemption</w:t>
            </w:r>
          </w:p>
        </w:tc>
        <w:tc>
          <w:tcPr>
            <w:tcW w:w="567" w:type="pct"/>
            <w:tcBorders>
              <w:top w:val="nil"/>
              <w:left w:val="nil"/>
              <w:bottom w:val="nil"/>
              <w:right w:val="nil"/>
            </w:tcBorders>
            <w:shd w:val="clear" w:color="auto" w:fill="auto"/>
            <w:noWrap/>
            <w:vAlign w:val="bottom"/>
            <w:hideMark/>
          </w:tcPr>
          <w:p w14:paraId="6F558155"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1,770</w:t>
            </w:r>
          </w:p>
        </w:tc>
        <w:tc>
          <w:tcPr>
            <w:tcW w:w="539" w:type="pct"/>
            <w:tcBorders>
              <w:top w:val="nil"/>
              <w:left w:val="nil"/>
              <w:bottom w:val="nil"/>
              <w:right w:val="nil"/>
            </w:tcBorders>
            <w:shd w:val="clear" w:color="auto" w:fill="auto"/>
            <w:vAlign w:val="bottom"/>
            <w:hideMark/>
          </w:tcPr>
          <w:p w14:paraId="3E4F7B23"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1.8</w:t>
            </w:r>
          </w:p>
        </w:tc>
        <w:tc>
          <w:tcPr>
            <w:tcW w:w="567" w:type="pct"/>
            <w:tcBorders>
              <w:top w:val="nil"/>
              <w:left w:val="nil"/>
              <w:bottom w:val="nil"/>
              <w:right w:val="nil"/>
            </w:tcBorders>
            <w:shd w:val="clear" w:color="auto" w:fill="auto"/>
            <w:noWrap/>
            <w:vAlign w:val="bottom"/>
            <w:hideMark/>
          </w:tcPr>
          <w:p w14:paraId="0A33BEDE"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1.1</w:t>
            </w:r>
          </w:p>
        </w:tc>
      </w:tr>
      <w:tr w:rsidR="00335093" w:rsidRPr="00966BD4" w14:paraId="59A73716" w14:textId="77777777" w:rsidTr="00335093">
        <w:trPr>
          <w:trHeight w:hRule="exact" w:val="225"/>
        </w:trPr>
        <w:tc>
          <w:tcPr>
            <w:tcW w:w="625" w:type="pct"/>
            <w:tcBorders>
              <w:top w:val="nil"/>
              <w:left w:val="nil"/>
              <w:bottom w:val="nil"/>
              <w:right w:val="nil"/>
            </w:tcBorders>
            <w:shd w:val="clear" w:color="auto" w:fill="auto"/>
            <w:noWrap/>
            <w:vAlign w:val="bottom"/>
            <w:hideMark/>
          </w:tcPr>
          <w:p w14:paraId="43DA160D"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208CB9EE"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H5</w:t>
            </w:r>
          </w:p>
        </w:tc>
        <w:tc>
          <w:tcPr>
            <w:tcW w:w="2358" w:type="pct"/>
            <w:tcBorders>
              <w:top w:val="nil"/>
              <w:left w:val="nil"/>
              <w:bottom w:val="nil"/>
              <w:right w:val="nil"/>
            </w:tcBorders>
            <w:shd w:val="clear" w:color="auto" w:fill="auto"/>
            <w:vAlign w:val="bottom"/>
            <w:hideMark/>
          </w:tcPr>
          <w:p w14:paraId="51C5A4B2" w14:textId="77777777" w:rsidR="00335093" w:rsidRPr="00966BD4" w:rsidRDefault="00335093" w:rsidP="00335093">
            <w:pPr>
              <w:spacing w:before="0" w:after="0" w:line="240" w:lineRule="auto"/>
              <w:rPr>
                <w:rFonts w:ascii="Arial" w:hAnsi="Arial" w:cs="Arial"/>
                <w:sz w:val="16"/>
                <w:szCs w:val="16"/>
              </w:rPr>
            </w:pPr>
            <w:proofErr w:type="gramStart"/>
            <w:r w:rsidRPr="00966BD4">
              <w:rPr>
                <w:rFonts w:ascii="Arial" w:hAnsi="Arial" w:cs="Arial"/>
                <w:sz w:val="16"/>
                <w:szCs w:val="16"/>
              </w:rPr>
              <w:t>Child care</w:t>
            </w:r>
            <w:proofErr w:type="gramEnd"/>
            <w:r w:rsidRPr="00966BD4">
              <w:rPr>
                <w:rFonts w:ascii="Arial" w:hAnsi="Arial" w:cs="Arial"/>
                <w:sz w:val="16"/>
                <w:szCs w:val="16"/>
              </w:rPr>
              <w:t xml:space="preserve"> services</w:t>
            </w:r>
          </w:p>
        </w:tc>
        <w:tc>
          <w:tcPr>
            <w:tcW w:w="567" w:type="pct"/>
            <w:tcBorders>
              <w:top w:val="nil"/>
              <w:left w:val="nil"/>
              <w:bottom w:val="nil"/>
              <w:right w:val="nil"/>
            </w:tcBorders>
            <w:shd w:val="clear" w:color="auto" w:fill="auto"/>
            <w:noWrap/>
            <w:vAlign w:val="bottom"/>
            <w:hideMark/>
          </w:tcPr>
          <w:p w14:paraId="264C143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1,710</w:t>
            </w:r>
          </w:p>
        </w:tc>
        <w:tc>
          <w:tcPr>
            <w:tcW w:w="539" w:type="pct"/>
            <w:tcBorders>
              <w:top w:val="nil"/>
              <w:left w:val="nil"/>
              <w:bottom w:val="nil"/>
              <w:right w:val="nil"/>
            </w:tcBorders>
            <w:shd w:val="clear" w:color="auto" w:fill="auto"/>
            <w:vAlign w:val="bottom"/>
            <w:hideMark/>
          </w:tcPr>
          <w:p w14:paraId="4FB0236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6.6</w:t>
            </w:r>
          </w:p>
        </w:tc>
        <w:tc>
          <w:tcPr>
            <w:tcW w:w="567" w:type="pct"/>
            <w:tcBorders>
              <w:top w:val="nil"/>
              <w:left w:val="nil"/>
              <w:bottom w:val="nil"/>
              <w:right w:val="nil"/>
            </w:tcBorders>
            <w:shd w:val="clear" w:color="auto" w:fill="auto"/>
            <w:noWrap/>
            <w:vAlign w:val="bottom"/>
            <w:hideMark/>
          </w:tcPr>
          <w:p w14:paraId="334ADA58"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8.0</w:t>
            </w:r>
          </w:p>
        </w:tc>
      </w:tr>
      <w:tr w:rsidR="00335093" w:rsidRPr="00966BD4" w14:paraId="4F8FEAE6" w14:textId="77777777" w:rsidTr="00335093">
        <w:trPr>
          <w:trHeight w:hRule="exact" w:val="450"/>
        </w:trPr>
        <w:tc>
          <w:tcPr>
            <w:tcW w:w="625" w:type="pct"/>
            <w:tcBorders>
              <w:top w:val="nil"/>
              <w:left w:val="nil"/>
              <w:bottom w:val="nil"/>
              <w:right w:val="nil"/>
            </w:tcBorders>
            <w:shd w:val="clear" w:color="auto" w:fill="auto"/>
            <w:noWrap/>
            <w:vAlign w:val="bottom"/>
            <w:hideMark/>
          </w:tcPr>
          <w:p w14:paraId="7EF92E0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3867464A"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H18</w:t>
            </w:r>
          </w:p>
        </w:tc>
        <w:tc>
          <w:tcPr>
            <w:tcW w:w="2358" w:type="pct"/>
            <w:tcBorders>
              <w:top w:val="nil"/>
              <w:left w:val="nil"/>
              <w:bottom w:val="nil"/>
              <w:right w:val="nil"/>
            </w:tcBorders>
            <w:shd w:val="clear" w:color="auto" w:fill="auto"/>
            <w:vAlign w:val="bottom"/>
            <w:hideMark/>
          </w:tcPr>
          <w:p w14:paraId="6D006204"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Health – residential care, community care and other care services</w:t>
            </w:r>
          </w:p>
        </w:tc>
        <w:tc>
          <w:tcPr>
            <w:tcW w:w="567" w:type="pct"/>
            <w:tcBorders>
              <w:top w:val="nil"/>
              <w:left w:val="nil"/>
              <w:bottom w:val="nil"/>
              <w:right w:val="nil"/>
            </w:tcBorders>
            <w:shd w:val="clear" w:color="auto" w:fill="auto"/>
            <w:noWrap/>
            <w:vAlign w:val="bottom"/>
            <w:hideMark/>
          </w:tcPr>
          <w:p w14:paraId="42BD2B30"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1,600</w:t>
            </w:r>
          </w:p>
        </w:tc>
        <w:tc>
          <w:tcPr>
            <w:tcW w:w="539" w:type="pct"/>
            <w:tcBorders>
              <w:top w:val="nil"/>
              <w:left w:val="nil"/>
              <w:bottom w:val="nil"/>
              <w:right w:val="nil"/>
            </w:tcBorders>
            <w:shd w:val="clear" w:color="auto" w:fill="auto"/>
            <w:vAlign w:val="bottom"/>
            <w:hideMark/>
          </w:tcPr>
          <w:p w14:paraId="6E2EB477"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5.7</w:t>
            </w:r>
          </w:p>
        </w:tc>
        <w:tc>
          <w:tcPr>
            <w:tcW w:w="567" w:type="pct"/>
            <w:tcBorders>
              <w:top w:val="nil"/>
              <w:left w:val="nil"/>
              <w:bottom w:val="nil"/>
              <w:right w:val="nil"/>
            </w:tcBorders>
            <w:shd w:val="clear" w:color="auto" w:fill="auto"/>
            <w:noWrap/>
            <w:vAlign w:val="bottom"/>
            <w:hideMark/>
          </w:tcPr>
          <w:p w14:paraId="10CE25E1"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6.9</w:t>
            </w:r>
          </w:p>
        </w:tc>
      </w:tr>
      <w:tr w:rsidR="00335093" w:rsidRPr="00966BD4" w14:paraId="28329BD9" w14:textId="77777777" w:rsidTr="00335093">
        <w:trPr>
          <w:trHeight w:hRule="exact" w:val="225"/>
        </w:trPr>
        <w:tc>
          <w:tcPr>
            <w:tcW w:w="625" w:type="pct"/>
            <w:tcBorders>
              <w:top w:val="nil"/>
              <w:left w:val="nil"/>
              <w:bottom w:val="single" w:sz="4" w:space="0" w:color="auto"/>
              <w:right w:val="nil"/>
            </w:tcBorders>
            <w:shd w:val="clear" w:color="auto" w:fill="auto"/>
            <w:noWrap/>
            <w:vAlign w:val="bottom"/>
            <w:hideMark/>
          </w:tcPr>
          <w:p w14:paraId="5F33624E"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Deductions</w:t>
            </w:r>
          </w:p>
        </w:tc>
        <w:tc>
          <w:tcPr>
            <w:tcW w:w="344" w:type="pct"/>
            <w:tcBorders>
              <w:top w:val="nil"/>
              <w:left w:val="nil"/>
              <w:bottom w:val="single" w:sz="4" w:space="0" w:color="auto"/>
              <w:right w:val="nil"/>
            </w:tcBorders>
            <w:shd w:val="clear" w:color="auto" w:fill="auto"/>
            <w:noWrap/>
            <w:vAlign w:val="bottom"/>
            <w:hideMark/>
          </w:tcPr>
          <w:p w14:paraId="514F21A0"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 </w:t>
            </w:r>
          </w:p>
        </w:tc>
        <w:tc>
          <w:tcPr>
            <w:tcW w:w="2358" w:type="pct"/>
            <w:tcBorders>
              <w:top w:val="nil"/>
              <w:left w:val="nil"/>
              <w:bottom w:val="single" w:sz="4" w:space="0" w:color="auto"/>
              <w:right w:val="nil"/>
            </w:tcBorders>
            <w:shd w:val="clear" w:color="auto" w:fill="auto"/>
            <w:vAlign w:val="bottom"/>
            <w:hideMark/>
          </w:tcPr>
          <w:p w14:paraId="63C9E86A" w14:textId="77777777" w:rsidR="00335093" w:rsidRPr="00966BD4" w:rsidRDefault="00335093" w:rsidP="00335093">
            <w:pPr>
              <w:spacing w:before="0" w:after="0" w:line="240" w:lineRule="auto"/>
              <w:rPr>
                <w:rFonts w:ascii="Arial" w:hAnsi="Arial" w:cs="Arial"/>
                <w:sz w:val="16"/>
                <w:szCs w:val="16"/>
              </w:rPr>
            </w:pPr>
            <w:r w:rsidRPr="00966BD4">
              <w:rPr>
                <w:rFonts w:ascii="Arial" w:hAnsi="Arial" w:cs="Arial"/>
                <w:sz w:val="16"/>
                <w:szCs w:val="16"/>
              </w:rPr>
              <w:t>Cost of managing tax affairs and other deductions</w:t>
            </w:r>
          </w:p>
        </w:tc>
        <w:tc>
          <w:tcPr>
            <w:tcW w:w="567" w:type="pct"/>
            <w:tcBorders>
              <w:top w:val="nil"/>
              <w:left w:val="nil"/>
              <w:bottom w:val="single" w:sz="4" w:space="0" w:color="auto"/>
              <w:right w:val="nil"/>
            </w:tcBorders>
            <w:shd w:val="clear" w:color="auto" w:fill="auto"/>
            <w:noWrap/>
            <w:vAlign w:val="bottom"/>
            <w:hideMark/>
          </w:tcPr>
          <w:p w14:paraId="53E61CEC"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1,600</w:t>
            </w:r>
          </w:p>
        </w:tc>
        <w:tc>
          <w:tcPr>
            <w:tcW w:w="539" w:type="pct"/>
            <w:tcBorders>
              <w:top w:val="nil"/>
              <w:left w:val="nil"/>
              <w:bottom w:val="single" w:sz="4" w:space="0" w:color="auto"/>
              <w:right w:val="nil"/>
            </w:tcBorders>
            <w:shd w:val="clear" w:color="auto" w:fill="auto"/>
            <w:vAlign w:val="bottom"/>
            <w:hideMark/>
          </w:tcPr>
          <w:p w14:paraId="3DF07196"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2.3</w:t>
            </w:r>
          </w:p>
        </w:tc>
        <w:tc>
          <w:tcPr>
            <w:tcW w:w="567" w:type="pct"/>
            <w:tcBorders>
              <w:top w:val="nil"/>
              <w:left w:val="nil"/>
              <w:bottom w:val="single" w:sz="4" w:space="0" w:color="auto"/>
              <w:right w:val="nil"/>
            </w:tcBorders>
            <w:shd w:val="clear" w:color="auto" w:fill="auto"/>
            <w:noWrap/>
            <w:vAlign w:val="bottom"/>
            <w:hideMark/>
          </w:tcPr>
          <w:p w14:paraId="4C4257E4" w14:textId="77777777" w:rsidR="00335093" w:rsidRPr="00966BD4" w:rsidRDefault="00335093" w:rsidP="00335093">
            <w:pPr>
              <w:spacing w:before="0" w:after="0" w:line="240" w:lineRule="auto"/>
              <w:jc w:val="right"/>
              <w:rPr>
                <w:rFonts w:ascii="Arial" w:hAnsi="Arial" w:cs="Arial"/>
                <w:sz w:val="16"/>
                <w:szCs w:val="16"/>
              </w:rPr>
            </w:pPr>
            <w:r w:rsidRPr="00966BD4">
              <w:rPr>
                <w:rFonts w:ascii="Arial" w:hAnsi="Arial" w:cs="Arial"/>
                <w:sz w:val="16"/>
                <w:szCs w:val="16"/>
              </w:rPr>
              <w:t>3.2</w:t>
            </w:r>
          </w:p>
        </w:tc>
      </w:tr>
    </w:tbl>
    <w:p w14:paraId="2221596A" w14:textId="6B290F22" w:rsidR="00716BC4" w:rsidRPr="00966BD4" w:rsidRDefault="00325E18" w:rsidP="00E149B8">
      <w:pPr>
        <w:pStyle w:val="ChartandTableFootnote"/>
        <w:ind w:left="0" w:firstLine="0"/>
        <w:rPr>
          <w:color w:val="auto"/>
        </w:rPr>
      </w:pPr>
      <w:r w:rsidRPr="00966BD4">
        <w:rPr>
          <w:color w:val="auto"/>
        </w:rPr>
        <w:t xml:space="preserve">* </w:t>
      </w:r>
      <w:r w:rsidR="00716BC4" w:rsidRPr="00966BD4">
        <w:rPr>
          <w:color w:val="auto"/>
        </w:rPr>
        <w:t>For deductions, revenue forgone refers to the reduction in tax in relation to the specified income year due to the utilisation of deductions.</w:t>
      </w:r>
    </w:p>
    <w:p w14:paraId="146CC3AD" w14:textId="77777777" w:rsidR="0036192D" w:rsidRPr="00966BD4" w:rsidRDefault="0036192D">
      <w:pPr>
        <w:spacing w:before="0" w:after="160" w:line="259" w:lineRule="auto"/>
        <w:rPr>
          <w:rFonts w:ascii="Arial" w:hAnsi="Arial"/>
          <w:sz w:val="16"/>
        </w:rPr>
      </w:pPr>
      <w:r w:rsidRPr="00966BD4">
        <w:br w:type="page"/>
      </w:r>
    </w:p>
    <w:p w14:paraId="481DD8F7" w14:textId="5C8EBE58" w:rsidR="00ED5F3B" w:rsidRPr="00966BD4" w:rsidRDefault="00830054" w:rsidP="00175AF4">
      <w:pPr>
        <w:pStyle w:val="TableHeadingcontinued"/>
        <w:rPr>
          <w:rFonts w:eastAsiaTheme="minorHAnsi"/>
          <w:b w:val="0"/>
        </w:rPr>
      </w:pPr>
      <w:r w:rsidRPr="00966BD4">
        <w:rPr>
          <w:b w:val="0"/>
        </w:rPr>
        <w:lastRenderedPageBreak/>
        <w:t xml:space="preserve">Table A.1: Estimates of </w:t>
      </w:r>
      <w:proofErr w:type="gramStart"/>
      <w:r w:rsidRPr="00966BD4">
        <w:rPr>
          <w:b w:val="0"/>
        </w:rPr>
        <w:t>large measured</w:t>
      </w:r>
      <w:proofErr w:type="gramEnd"/>
      <w:r w:rsidRPr="00966BD4">
        <w:rPr>
          <w:b w:val="0"/>
        </w:rPr>
        <w:t xml:space="preserve"> tax expenditures (continued)</w:t>
      </w:r>
      <w:r w:rsidR="00175AF4" w:rsidRPr="00966BD4">
        <w:t xml:space="preserve"> </w:t>
      </w:r>
      <w:bookmarkStart w:id="47" w:name="_1744872077"/>
      <w:bookmarkEnd w:id="47"/>
    </w:p>
    <w:tbl>
      <w:tblPr>
        <w:tblW w:w="5000" w:type="pct"/>
        <w:tblCellMar>
          <w:left w:w="0" w:type="dxa"/>
          <w:right w:w="28" w:type="dxa"/>
        </w:tblCellMar>
        <w:tblLook w:val="04A0" w:firstRow="1" w:lastRow="0" w:firstColumn="1" w:lastColumn="0" w:noHBand="0" w:noVBand="1"/>
      </w:tblPr>
      <w:tblGrid>
        <w:gridCol w:w="964"/>
        <w:gridCol w:w="530"/>
        <w:gridCol w:w="3638"/>
        <w:gridCol w:w="874"/>
        <w:gridCol w:w="831"/>
        <w:gridCol w:w="873"/>
      </w:tblGrid>
      <w:tr w:rsidR="00ED5F3B" w:rsidRPr="00966BD4" w14:paraId="39F10473" w14:textId="77777777" w:rsidTr="00146029">
        <w:trPr>
          <w:trHeight w:hRule="exact" w:val="1125"/>
        </w:trPr>
        <w:tc>
          <w:tcPr>
            <w:tcW w:w="625" w:type="pct"/>
            <w:tcBorders>
              <w:top w:val="single" w:sz="4" w:space="0" w:color="auto"/>
              <w:left w:val="nil"/>
              <w:bottom w:val="single" w:sz="4" w:space="0" w:color="auto"/>
              <w:right w:val="nil"/>
            </w:tcBorders>
            <w:shd w:val="clear" w:color="auto" w:fill="auto"/>
            <w:vAlign w:val="bottom"/>
            <w:hideMark/>
          </w:tcPr>
          <w:p w14:paraId="7C15B4F8" w14:textId="3E6BC97F"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Tax type affected</w:t>
            </w:r>
          </w:p>
        </w:tc>
        <w:tc>
          <w:tcPr>
            <w:tcW w:w="344" w:type="pct"/>
            <w:tcBorders>
              <w:top w:val="single" w:sz="4" w:space="0" w:color="auto"/>
              <w:left w:val="nil"/>
              <w:bottom w:val="single" w:sz="4" w:space="0" w:color="auto"/>
              <w:right w:val="nil"/>
            </w:tcBorders>
            <w:shd w:val="clear" w:color="auto" w:fill="auto"/>
            <w:noWrap/>
            <w:vAlign w:val="bottom"/>
            <w:hideMark/>
          </w:tcPr>
          <w:p w14:paraId="67CC8ED2" w14:textId="77777777"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Code</w:t>
            </w:r>
          </w:p>
        </w:tc>
        <w:tc>
          <w:tcPr>
            <w:tcW w:w="2358" w:type="pct"/>
            <w:tcBorders>
              <w:top w:val="single" w:sz="4" w:space="0" w:color="auto"/>
              <w:left w:val="nil"/>
              <w:bottom w:val="single" w:sz="4" w:space="0" w:color="auto"/>
              <w:right w:val="nil"/>
            </w:tcBorders>
            <w:shd w:val="clear" w:color="auto" w:fill="auto"/>
            <w:noWrap/>
            <w:vAlign w:val="bottom"/>
            <w:hideMark/>
          </w:tcPr>
          <w:p w14:paraId="2D8FEA87" w14:textId="77777777"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Title</w:t>
            </w:r>
          </w:p>
        </w:tc>
        <w:tc>
          <w:tcPr>
            <w:tcW w:w="567" w:type="pct"/>
            <w:tcBorders>
              <w:top w:val="single" w:sz="4" w:space="0" w:color="auto"/>
              <w:left w:val="nil"/>
              <w:bottom w:val="single" w:sz="4" w:space="0" w:color="auto"/>
              <w:right w:val="nil"/>
            </w:tcBorders>
            <w:shd w:val="clear" w:color="auto" w:fill="auto"/>
            <w:vAlign w:val="bottom"/>
            <w:hideMark/>
          </w:tcPr>
          <w:p w14:paraId="05250787" w14:textId="23BB0E76"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Revenue forgone 2022</w:t>
            </w:r>
            <w:r w:rsidR="001B77CF">
              <w:rPr>
                <w:rFonts w:ascii="Arial" w:hAnsi="Arial" w:cs="Arial"/>
                <w:b/>
                <w:sz w:val="16"/>
                <w:szCs w:val="16"/>
              </w:rPr>
              <w:noBreakHyphen/>
            </w:r>
            <w:r w:rsidRPr="00966BD4">
              <w:rPr>
                <w:rFonts w:ascii="Arial" w:hAnsi="Arial" w:cs="Arial"/>
                <w:b/>
                <w:sz w:val="16"/>
                <w:szCs w:val="16"/>
              </w:rPr>
              <w:t>23* ($m)</w:t>
            </w:r>
          </w:p>
        </w:tc>
        <w:tc>
          <w:tcPr>
            <w:tcW w:w="539" w:type="pct"/>
            <w:tcBorders>
              <w:top w:val="single" w:sz="4" w:space="0" w:color="auto"/>
              <w:left w:val="nil"/>
              <w:bottom w:val="single" w:sz="4" w:space="0" w:color="auto"/>
              <w:right w:val="nil"/>
            </w:tcBorders>
            <w:shd w:val="clear" w:color="auto" w:fill="auto"/>
            <w:vAlign w:val="bottom"/>
            <w:hideMark/>
          </w:tcPr>
          <w:p w14:paraId="789E6848" w14:textId="32D7F8F8"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Average growth</w:t>
            </w:r>
            <w:r w:rsidR="001B77CF">
              <w:rPr>
                <w:rFonts w:ascii="Arial" w:hAnsi="Arial" w:cs="Arial"/>
                <w:b/>
                <w:sz w:val="16"/>
                <w:szCs w:val="16"/>
              </w:rPr>
              <w:t xml:space="preserve"> – </w:t>
            </w:r>
            <w:r w:rsidRPr="00966BD4">
              <w:rPr>
                <w:rFonts w:ascii="Arial" w:hAnsi="Arial" w:cs="Arial"/>
                <w:b/>
                <w:sz w:val="16"/>
                <w:szCs w:val="16"/>
              </w:rPr>
              <w:t>2018</w:t>
            </w:r>
            <w:r w:rsidR="001B77CF">
              <w:rPr>
                <w:rFonts w:ascii="Arial" w:hAnsi="Arial" w:cs="Arial"/>
                <w:b/>
                <w:sz w:val="16"/>
                <w:szCs w:val="16"/>
              </w:rPr>
              <w:noBreakHyphen/>
            </w:r>
            <w:r w:rsidRPr="00966BD4">
              <w:rPr>
                <w:rFonts w:ascii="Arial" w:hAnsi="Arial" w:cs="Arial"/>
                <w:b/>
                <w:sz w:val="16"/>
                <w:szCs w:val="16"/>
              </w:rPr>
              <w:t>19 to 2021</w:t>
            </w:r>
            <w:r w:rsidR="001B77CF">
              <w:rPr>
                <w:rFonts w:ascii="Arial" w:hAnsi="Arial" w:cs="Arial"/>
                <w:b/>
                <w:sz w:val="16"/>
                <w:szCs w:val="16"/>
              </w:rPr>
              <w:noBreakHyphen/>
            </w:r>
            <w:r w:rsidRPr="00966BD4">
              <w:rPr>
                <w:rFonts w:ascii="Arial" w:hAnsi="Arial" w:cs="Arial"/>
                <w:b/>
                <w:sz w:val="16"/>
                <w:szCs w:val="16"/>
              </w:rPr>
              <w:t>22 (%)</w:t>
            </w:r>
          </w:p>
        </w:tc>
        <w:tc>
          <w:tcPr>
            <w:tcW w:w="567" w:type="pct"/>
            <w:tcBorders>
              <w:top w:val="single" w:sz="4" w:space="0" w:color="auto"/>
              <w:left w:val="nil"/>
              <w:bottom w:val="single" w:sz="4" w:space="0" w:color="auto"/>
              <w:right w:val="nil"/>
            </w:tcBorders>
            <w:shd w:val="clear" w:color="auto" w:fill="auto"/>
            <w:vAlign w:val="bottom"/>
            <w:hideMark/>
          </w:tcPr>
          <w:p w14:paraId="701392BB" w14:textId="77777777"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Average growth over FEs (%)</w:t>
            </w:r>
          </w:p>
        </w:tc>
      </w:tr>
      <w:tr w:rsidR="00ED5F3B" w:rsidRPr="00966BD4" w14:paraId="75FA5C2A" w14:textId="77777777" w:rsidTr="00146029">
        <w:trPr>
          <w:trHeight w:hRule="exact" w:val="450"/>
        </w:trPr>
        <w:tc>
          <w:tcPr>
            <w:tcW w:w="625" w:type="pct"/>
            <w:tcBorders>
              <w:top w:val="nil"/>
              <w:left w:val="nil"/>
              <w:bottom w:val="nil"/>
              <w:right w:val="nil"/>
            </w:tcBorders>
            <w:shd w:val="clear" w:color="auto" w:fill="auto"/>
            <w:noWrap/>
            <w:vAlign w:val="bottom"/>
            <w:hideMark/>
          </w:tcPr>
          <w:p w14:paraId="6E4474A2"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Super</w:t>
            </w:r>
          </w:p>
        </w:tc>
        <w:tc>
          <w:tcPr>
            <w:tcW w:w="344" w:type="pct"/>
            <w:tcBorders>
              <w:top w:val="nil"/>
              <w:left w:val="nil"/>
              <w:bottom w:val="nil"/>
              <w:right w:val="nil"/>
            </w:tcBorders>
            <w:shd w:val="clear" w:color="auto" w:fill="auto"/>
            <w:noWrap/>
            <w:vAlign w:val="bottom"/>
            <w:hideMark/>
          </w:tcPr>
          <w:p w14:paraId="533B684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C3</w:t>
            </w:r>
          </w:p>
        </w:tc>
        <w:tc>
          <w:tcPr>
            <w:tcW w:w="2358" w:type="pct"/>
            <w:tcBorders>
              <w:top w:val="nil"/>
              <w:left w:val="nil"/>
              <w:bottom w:val="nil"/>
              <w:right w:val="nil"/>
            </w:tcBorders>
            <w:shd w:val="clear" w:color="auto" w:fill="auto"/>
            <w:vAlign w:val="bottom"/>
            <w:hideMark/>
          </w:tcPr>
          <w:p w14:paraId="291C6EB2"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Concessional taxation of personal superannuation contributions</w:t>
            </w:r>
          </w:p>
        </w:tc>
        <w:tc>
          <w:tcPr>
            <w:tcW w:w="567" w:type="pct"/>
            <w:tcBorders>
              <w:top w:val="nil"/>
              <w:left w:val="nil"/>
              <w:bottom w:val="nil"/>
              <w:right w:val="nil"/>
            </w:tcBorders>
            <w:shd w:val="clear" w:color="auto" w:fill="auto"/>
            <w:noWrap/>
            <w:vAlign w:val="bottom"/>
            <w:hideMark/>
          </w:tcPr>
          <w:p w14:paraId="42CF62A7"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1,550</w:t>
            </w:r>
          </w:p>
        </w:tc>
        <w:tc>
          <w:tcPr>
            <w:tcW w:w="539" w:type="pct"/>
            <w:tcBorders>
              <w:top w:val="nil"/>
              <w:left w:val="nil"/>
              <w:bottom w:val="nil"/>
              <w:right w:val="nil"/>
            </w:tcBorders>
            <w:shd w:val="clear" w:color="auto" w:fill="auto"/>
            <w:vAlign w:val="bottom"/>
            <w:hideMark/>
          </w:tcPr>
          <w:p w14:paraId="29087F27"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25.0</w:t>
            </w:r>
          </w:p>
        </w:tc>
        <w:tc>
          <w:tcPr>
            <w:tcW w:w="567" w:type="pct"/>
            <w:tcBorders>
              <w:top w:val="nil"/>
              <w:left w:val="nil"/>
              <w:bottom w:val="nil"/>
              <w:right w:val="nil"/>
            </w:tcBorders>
            <w:shd w:val="clear" w:color="auto" w:fill="auto"/>
            <w:noWrap/>
            <w:vAlign w:val="bottom"/>
            <w:hideMark/>
          </w:tcPr>
          <w:p w14:paraId="4602D6E1" w14:textId="4E5AB2CA"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8.3</w:t>
            </w:r>
          </w:p>
        </w:tc>
      </w:tr>
      <w:tr w:rsidR="00ED5F3B" w:rsidRPr="00966BD4" w14:paraId="171D6172" w14:textId="77777777" w:rsidTr="00146029">
        <w:trPr>
          <w:trHeight w:hRule="exact" w:val="450"/>
        </w:trPr>
        <w:tc>
          <w:tcPr>
            <w:tcW w:w="625" w:type="pct"/>
            <w:tcBorders>
              <w:top w:val="nil"/>
              <w:left w:val="nil"/>
              <w:bottom w:val="nil"/>
              <w:right w:val="nil"/>
            </w:tcBorders>
            <w:shd w:val="clear" w:color="auto" w:fill="auto"/>
            <w:noWrap/>
            <w:vAlign w:val="bottom"/>
            <w:hideMark/>
          </w:tcPr>
          <w:p w14:paraId="20AE9CB7"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5BEC9DB"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A23</w:t>
            </w:r>
          </w:p>
        </w:tc>
        <w:tc>
          <w:tcPr>
            <w:tcW w:w="2358" w:type="pct"/>
            <w:tcBorders>
              <w:top w:val="nil"/>
              <w:left w:val="nil"/>
              <w:bottom w:val="nil"/>
              <w:right w:val="nil"/>
            </w:tcBorders>
            <w:shd w:val="clear" w:color="auto" w:fill="auto"/>
            <w:vAlign w:val="bottom"/>
            <w:hideMark/>
          </w:tcPr>
          <w:p w14:paraId="6352CB4C" w14:textId="29555D3E"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Concessional taxation of non</w:t>
            </w:r>
            <w:r w:rsidR="001B77CF">
              <w:rPr>
                <w:rFonts w:ascii="Arial" w:hAnsi="Arial" w:cs="Arial"/>
                <w:sz w:val="16"/>
                <w:szCs w:val="16"/>
              </w:rPr>
              <w:noBreakHyphen/>
            </w:r>
            <w:r w:rsidRPr="00966BD4">
              <w:rPr>
                <w:rFonts w:ascii="Arial" w:hAnsi="Arial" w:cs="Arial"/>
                <w:sz w:val="16"/>
                <w:szCs w:val="16"/>
              </w:rPr>
              <w:t>superannuation termination benefits</w:t>
            </w:r>
          </w:p>
        </w:tc>
        <w:tc>
          <w:tcPr>
            <w:tcW w:w="567" w:type="pct"/>
            <w:tcBorders>
              <w:top w:val="nil"/>
              <w:left w:val="nil"/>
              <w:bottom w:val="nil"/>
              <w:right w:val="nil"/>
            </w:tcBorders>
            <w:shd w:val="clear" w:color="auto" w:fill="auto"/>
            <w:noWrap/>
            <w:vAlign w:val="bottom"/>
            <w:hideMark/>
          </w:tcPr>
          <w:p w14:paraId="7A4DFC4C"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1,550</w:t>
            </w:r>
          </w:p>
        </w:tc>
        <w:tc>
          <w:tcPr>
            <w:tcW w:w="539" w:type="pct"/>
            <w:tcBorders>
              <w:top w:val="nil"/>
              <w:left w:val="nil"/>
              <w:bottom w:val="nil"/>
              <w:right w:val="nil"/>
            </w:tcBorders>
            <w:shd w:val="clear" w:color="auto" w:fill="auto"/>
            <w:vAlign w:val="bottom"/>
            <w:hideMark/>
          </w:tcPr>
          <w:p w14:paraId="1CD4D9B6" w14:textId="1597B834"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9.1</w:t>
            </w:r>
          </w:p>
        </w:tc>
        <w:tc>
          <w:tcPr>
            <w:tcW w:w="567" w:type="pct"/>
            <w:tcBorders>
              <w:top w:val="nil"/>
              <w:left w:val="nil"/>
              <w:bottom w:val="nil"/>
              <w:right w:val="nil"/>
            </w:tcBorders>
            <w:shd w:val="clear" w:color="auto" w:fill="auto"/>
            <w:noWrap/>
            <w:vAlign w:val="bottom"/>
            <w:hideMark/>
          </w:tcPr>
          <w:p w14:paraId="2CB0D663"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N/A</w:t>
            </w:r>
          </w:p>
        </w:tc>
      </w:tr>
      <w:tr w:rsidR="00ED5F3B" w:rsidRPr="00966BD4" w14:paraId="5822587E" w14:textId="77777777" w:rsidTr="00146029">
        <w:trPr>
          <w:trHeight w:hRule="exact" w:val="225"/>
        </w:trPr>
        <w:tc>
          <w:tcPr>
            <w:tcW w:w="625" w:type="pct"/>
            <w:tcBorders>
              <w:top w:val="nil"/>
              <w:left w:val="nil"/>
              <w:bottom w:val="nil"/>
              <w:right w:val="nil"/>
            </w:tcBorders>
            <w:shd w:val="clear" w:color="auto" w:fill="auto"/>
            <w:noWrap/>
            <w:vAlign w:val="bottom"/>
            <w:hideMark/>
          </w:tcPr>
          <w:p w14:paraId="5D2FFED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155099A9"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A17</w:t>
            </w:r>
          </w:p>
        </w:tc>
        <w:tc>
          <w:tcPr>
            <w:tcW w:w="2358" w:type="pct"/>
            <w:tcBorders>
              <w:top w:val="nil"/>
              <w:left w:val="nil"/>
              <w:bottom w:val="nil"/>
              <w:right w:val="nil"/>
            </w:tcBorders>
            <w:shd w:val="clear" w:color="auto" w:fill="auto"/>
            <w:vAlign w:val="bottom"/>
            <w:hideMark/>
          </w:tcPr>
          <w:p w14:paraId="50239F2B"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Exemption of the Private Health Insurance Rebate</w:t>
            </w:r>
          </w:p>
        </w:tc>
        <w:tc>
          <w:tcPr>
            <w:tcW w:w="567" w:type="pct"/>
            <w:tcBorders>
              <w:top w:val="nil"/>
              <w:left w:val="nil"/>
              <w:bottom w:val="nil"/>
              <w:right w:val="nil"/>
            </w:tcBorders>
            <w:shd w:val="clear" w:color="auto" w:fill="auto"/>
            <w:noWrap/>
            <w:vAlign w:val="bottom"/>
            <w:hideMark/>
          </w:tcPr>
          <w:p w14:paraId="019E05FF"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1,500</w:t>
            </w:r>
          </w:p>
        </w:tc>
        <w:tc>
          <w:tcPr>
            <w:tcW w:w="539" w:type="pct"/>
            <w:tcBorders>
              <w:top w:val="nil"/>
              <w:left w:val="nil"/>
              <w:bottom w:val="nil"/>
              <w:right w:val="nil"/>
            </w:tcBorders>
            <w:shd w:val="clear" w:color="auto" w:fill="auto"/>
            <w:vAlign w:val="bottom"/>
            <w:hideMark/>
          </w:tcPr>
          <w:p w14:paraId="2658C528" w14:textId="3F3777C8"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2.8</w:t>
            </w:r>
          </w:p>
        </w:tc>
        <w:tc>
          <w:tcPr>
            <w:tcW w:w="567" w:type="pct"/>
            <w:tcBorders>
              <w:top w:val="nil"/>
              <w:left w:val="nil"/>
              <w:bottom w:val="nil"/>
              <w:right w:val="nil"/>
            </w:tcBorders>
            <w:shd w:val="clear" w:color="auto" w:fill="auto"/>
            <w:noWrap/>
            <w:vAlign w:val="bottom"/>
            <w:hideMark/>
          </w:tcPr>
          <w:p w14:paraId="369047E1"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1.5</w:t>
            </w:r>
          </w:p>
        </w:tc>
      </w:tr>
      <w:tr w:rsidR="00ED5F3B" w:rsidRPr="00966BD4" w14:paraId="300D410F" w14:textId="77777777" w:rsidTr="00146029">
        <w:trPr>
          <w:trHeight w:hRule="exact" w:val="450"/>
        </w:trPr>
        <w:tc>
          <w:tcPr>
            <w:tcW w:w="625" w:type="pct"/>
            <w:tcBorders>
              <w:top w:val="nil"/>
              <w:left w:val="nil"/>
              <w:bottom w:val="nil"/>
              <w:right w:val="nil"/>
            </w:tcBorders>
            <w:shd w:val="clear" w:color="auto" w:fill="auto"/>
            <w:noWrap/>
            <w:vAlign w:val="bottom"/>
            <w:hideMark/>
          </w:tcPr>
          <w:p w14:paraId="38A9C286"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639865F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B23</w:t>
            </w:r>
          </w:p>
        </w:tc>
        <w:tc>
          <w:tcPr>
            <w:tcW w:w="2358" w:type="pct"/>
            <w:tcBorders>
              <w:top w:val="nil"/>
              <w:left w:val="nil"/>
              <w:bottom w:val="nil"/>
              <w:right w:val="nil"/>
            </w:tcBorders>
            <w:shd w:val="clear" w:color="auto" w:fill="auto"/>
            <w:vAlign w:val="bottom"/>
            <w:hideMark/>
          </w:tcPr>
          <w:p w14:paraId="688CCC62" w14:textId="31D1A35D"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Temporary loss carry</w:t>
            </w:r>
            <w:r w:rsidR="001B77CF">
              <w:rPr>
                <w:rFonts w:ascii="Arial" w:hAnsi="Arial" w:cs="Arial"/>
                <w:sz w:val="16"/>
                <w:szCs w:val="16"/>
              </w:rPr>
              <w:noBreakHyphen/>
            </w:r>
            <w:r w:rsidRPr="00966BD4">
              <w:rPr>
                <w:rFonts w:ascii="Arial" w:hAnsi="Arial" w:cs="Arial"/>
                <w:sz w:val="16"/>
                <w:szCs w:val="16"/>
              </w:rPr>
              <w:t>back for certain incorporated entities</w:t>
            </w:r>
          </w:p>
        </w:tc>
        <w:tc>
          <w:tcPr>
            <w:tcW w:w="567" w:type="pct"/>
            <w:tcBorders>
              <w:top w:val="nil"/>
              <w:left w:val="nil"/>
              <w:bottom w:val="nil"/>
              <w:right w:val="nil"/>
            </w:tcBorders>
            <w:shd w:val="clear" w:color="auto" w:fill="auto"/>
            <w:noWrap/>
            <w:vAlign w:val="bottom"/>
            <w:hideMark/>
          </w:tcPr>
          <w:p w14:paraId="7C89BE04"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1,480</w:t>
            </w:r>
          </w:p>
        </w:tc>
        <w:tc>
          <w:tcPr>
            <w:tcW w:w="539" w:type="pct"/>
            <w:tcBorders>
              <w:top w:val="nil"/>
              <w:left w:val="nil"/>
              <w:bottom w:val="nil"/>
              <w:right w:val="nil"/>
            </w:tcBorders>
            <w:shd w:val="clear" w:color="auto" w:fill="auto"/>
            <w:vAlign w:val="bottom"/>
            <w:hideMark/>
          </w:tcPr>
          <w:p w14:paraId="4B4B874E"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N/A</w:t>
            </w:r>
          </w:p>
        </w:tc>
        <w:tc>
          <w:tcPr>
            <w:tcW w:w="567" w:type="pct"/>
            <w:tcBorders>
              <w:top w:val="nil"/>
              <w:left w:val="nil"/>
              <w:bottom w:val="nil"/>
              <w:right w:val="nil"/>
            </w:tcBorders>
            <w:shd w:val="clear" w:color="auto" w:fill="auto"/>
            <w:noWrap/>
            <w:vAlign w:val="bottom"/>
            <w:hideMark/>
          </w:tcPr>
          <w:p w14:paraId="2B928BE3"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N/A</w:t>
            </w:r>
          </w:p>
        </w:tc>
      </w:tr>
      <w:tr w:rsidR="00ED5F3B" w:rsidRPr="00966BD4" w14:paraId="624B1293" w14:textId="77777777" w:rsidTr="00146029">
        <w:trPr>
          <w:trHeight w:hRule="exact" w:val="450"/>
        </w:trPr>
        <w:tc>
          <w:tcPr>
            <w:tcW w:w="625" w:type="pct"/>
            <w:tcBorders>
              <w:top w:val="nil"/>
              <w:left w:val="nil"/>
              <w:bottom w:val="nil"/>
              <w:right w:val="nil"/>
            </w:tcBorders>
            <w:shd w:val="clear" w:color="auto" w:fill="auto"/>
            <w:noWrap/>
            <w:vAlign w:val="bottom"/>
            <w:hideMark/>
          </w:tcPr>
          <w:p w14:paraId="07859BC4"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2BB57456"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A56</w:t>
            </w:r>
          </w:p>
        </w:tc>
        <w:tc>
          <w:tcPr>
            <w:tcW w:w="2358" w:type="pct"/>
            <w:tcBorders>
              <w:top w:val="nil"/>
              <w:left w:val="nil"/>
              <w:bottom w:val="nil"/>
              <w:right w:val="nil"/>
            </w:tcBorders>
            <w:shd w:val="clear" w:color="auto" w:fill="auto"/>
            <w:vAlign w:val="bottom"/>
            <w:hideMark/>
          </w:tcPr>
          <w:p w14:paraId="6B3CE1AE"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Philanthropy – deduction for gifts to deductible gift recipients</w:t>
            </w:r>
          </w:p>
        </w:tc>
        <w:tc>
          <w:tcPr>
            <w:tcW w:w="567" w:type="pct"/>
            <w:tcBorders>
              <w:top w:val="nil"/>
              <w:left w:val="nil"/>
              <w:bottom w:val="nil"/>
              <w:right w:val="nil"/>
            </w:tcBorders>
            <w:shd w:val="clear" w:color="auto" w:fill="auto"/>
            <w:noWrap/>
            <w:vAlign w:val="bottom"/>
            <w:hideMark/>
          </w:tcPr>
          <w:p w14:paraId="19AAB345"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1,405</w:t>
            </w:r>
          </w:p>
        </w:tc>
        <w:tc>
          <w:tcPr>
            <w:tcW w:w="539" w:type="pct"/>
            <w:tcBorders>
              <w:top w:val="nil"/>
              <w:left w:val="nil"/>
              <w:bottom w:val="nil"/>
              <w:right w:val="nil"/>
            </w:tcBorders>
            <w:shd w:val="clear" w:color="auto" w:fill="auto"/>
            <w:vAlign w:val="bottom"/>
            <w:hideMark/>
          </w:tcPr>
          <w:p w14:paraId="44AC16A3"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2.6</w:t>
            </w:r>
          </w:p>
        </w:tc>
        <w:tc>
          <w:tcPr>
            <w:tcW w:w="567" w:type="pct"/>
            <w:tcBorders>
              <w:top w:val="nil"/>
              <w:left w:val="nil"/>
              <w:bottom w:val="nil"/>
              <w:right w:val="nil"/>
            </w:tcBorders>
            <w:shd w:val="clear" w:color="auto" w:fill="auto"/>
            <w:noWrap/>
            <w:vAlign w:val="bottom"/>
            <w:hideMark/>
          </w:tcPr>
          <w:p w14:paraId="18ED4A60" w14:textId="6C249D20"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1.0</w:t>
            </w:r>
          </w:p>
        </w:tc>
      </w:tr>
      <w:tr w:rsidR="00ED5F3B" w:rsidRPr="00966BD4" w14:paraId="49C9953E" w14:textId="77777777" w:rsidTr="00146029">
        <w:trPr>
          <w:trHeight w:hRule="exact" w:val="450"/>
        </w:trPr>
        <w:tc>
          <w:tcPr>
            <w:tcW w:w="625" w:type="pct"/>
            <w:tcBorders>
              <w:top w:val="nil"/>
              <w:left w:val="nil"/>
              <w:bottom w:val="nil"/>
              <w:right w:val="nil"/>
            </w:tcBorders>
            <w:shd w:val="clear" w:color="auto" w:fill="auto"/>
            <w:noWrap/>
            <w:vAlign w:val="bottom"/>
            <w:hideMark/>
          </w:tcPr>
          <w:p w14:paraId="7514791A"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Super</w:t>
            </w:r>
          </w:p>
        </w:tc>
        <w:tc>
          <w:tcPr>
            <w:tcW w:w="344" w:type="pct"/>
            <w:tcBorders>
              <w:top w:val="nil"/>
              <w:left w:val="nil"/>
              <w:bottom w:val="nil"/>
              <w:right w:val="nil"/>
            </w:tcBorders>
            <w:shd w:val="clear" w:color="auto" w:fill="auto"/>
            <w:noWrap/>
            <w:vAlign w:val="bottom"/>
            <w:hideMark/>
          </w:tcPr>
          <w:p w14:paraId="2D76C345"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C1</w:t>
            </w:r>
          </w:p>
        </w:tc>
        <w:tc>
          <w:tcPr>
            <w:tcW w:w="2358" w:type="pct"/>
            <w:tcBorders>
              <w:top w:val="nil"/>
              <w:left w:val="nil"/>
              <w:bottom w:val="nil"/>
              <w:right w:val="nil"/>
            </w:tcBorders>
            <w:shd w:val="clear" w:color="auto" w:fill="auto"/>
            <w:vAlign w:val="bottom"/>
            <w:hideMark/>
          </w:tcPr>
          <w:p w14:paraId="402E0C67"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Concessional taxation of capital gains for superannuation funds</w:t>
            </w:r>
          </w:p>
        </w:tc>
        <w:tc>
          <w:tcPr>
            <w:tcW w:w="567" w:type="pct"/>
            <w:tcBorders>
              <w:top w:val="nil"/>
              <w:left w:val="nil"/>
              <w:bottom w:val="nil"/>
              <w:right w:val="nil"/>
            </w:tcBorders>
            <w:shd w:val="clear" w:color="auto" w:fill="auto"/>
            <w:noWrap/>
            <w:vAlign w:val="bottom"/>
            <w:hideMark/>
          </w:tcPr>
          <w:p w14:paraId="419E9932"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1,350</w:t>
            </w:r>
          </w:p>
        </w:tc>
        <w:tc>
          <w:tcPr>
            <w:tcW w:w="539" w:type="pct"/>
            <w:tcBorders>
              <w:top w:val="nil"/>
              <w:left w:val="nil"/>
              <w:bottom w:val="nil"/>
              <w:right w:val="nil"/>
            </w:tcBorders>
            <w:shd w:val="clear" w:color="auto" w:fill="auto"/>
            <w:vAlign w:val="bottom"/>
            <w:hideMark/>
          </w:tcPr>
          <w:p w14:paraId="7C67DB77"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18.9</w:t>
            </w:r>
          </w:p>
        </w:tc>
        <w:tc>
          <w:tcPr>
            <w:tcW w:w="567" w:type="pct"/>
            <w:tcBorders>
              <w:top w:val="nil"/>
              <w:left w:val="nil"/>
              <w:bottom w:val="nil"/>
              <w:right w:val="nil"/>
            </w:tcBorders>
            <w:shd w:val="clear" w:color="auto" w:fill="auto"/>
            <w:noWrap/>
            <w:vAlign w:val="bottom"/>
            <w:hideMark/>
          </w:tcPr>
          <w:p w14:paraId="375B6F4C" w14:textId="24E143A2"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8.8</w:t>
            </w:r>
          </w:p>
        </w:tc>
      </w:tr>
      <w:tr w:rsidR="00ED5F3B" w:rsidRPr="00966BD4" w14:paraId="0377BEEC" w14:textId="77777777" w:rsidTr="00146029">
        <w:trPr>
          <w:trHeight w:hRule="exact" w:val="225"/>
        </w:trPr>
        <w:tc>
          <w:tcPr>
            <w:tcW w:w="625" w:type="pct"/>
            <w:tcBorders>
              <w:top w:val="nil"/>
              <w:left w:val="nil"/>
              <w:bottom w:val="nil"/>
              <w:right w:val="nil"/>
            </w:tcBorders>
            <w:shd w:val="clear" w:color="auto" w:fill="auto"/>
            <w:noWrap/>
            <w:vAlign w:val="bottom"/>
            <w:hideMark/>
          </w:tcPr>
          <w:p w14:paraId="556F552C"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2B23572C"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B80</w:t>
            </w:r>
          </w:p>
        </w:tc>
        <w:tc>
          <w:tcPr>
            <w:tcW w:w="2358" w:type="pct"/>
            <w:tcBorders>
              <w:top w:val="nil"/>
              <w:left w:val="nil"/>
              <w:bottom w:val="nil"/>
              <w:right w:val="nil"/>
            </w:tcBorders>
            <w:shd w:val="clear" w:color="auto" w:fill="auto"/>
            <w:vAlign w:val="bottom"/>
            <w:hideMark/>
          </w:tcPr>
          <w:p w14:paraId="05D3F2D4"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Capital works expenditure deduction</w:t>
            </w:r>
          </w:p>
        </w:tc>
        <w:tc>
          <w:tcPr>
            <w:tcW w:w="567" w:type="pct"/>
            <w:tcBorders>
              <w:top w:val="nil"/>
              <w:left w:val="nil"/>
              <w:bottom w:val="nil"/>
              <w:right w:val="nil"/>
            </w:tcBorders>
            <w:shd w:val="clear" w:color="auto" w:fill="auto"/>
            <w:noWrap/>
            <w:vAlign w:val="bottom"/>
            <w:hideMark/>
          </w:tcPr>
          <w:p w14:paraId="2F175934"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1,270</w:t>
            </w:r>
          </w:p>
        </w:tc>
        <w:tc>
          <w:tcPr>
            <w:tcW w:w="539" w:type="pct"/>
            <w:tcBorders>
              <w:top w:val="nil"/>
              <w:left w:val="nil"/>
              <w:bottom w:val="nil"/>
              <w:right w:val="nil"/>
            </w:tcBorders>
            <w:shd w:val="clear" w:color="auto" w:fill="auto"/>
            <w:vAlign w:val="bottom"/>
            <w:hideMark/>
          </w:tcPr>
          <w:p w14:paraId="2DC5DD7C"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1.3</w:t>
            </w:r>
          </w:p>
        </w:tc>
        <w:tc>
          <w:tcPr>
            <w:tcW w:w="567" w:type="pct"/>
            <w:tcBorders>
              <w:top w:val="nil"/>
              <w:left w:val="nil"/>
              <w:bottom w:val="nil"/>
              <w:right w:val="nil"/>
            </w:tcBorders>
            <w:shd w:val="clear" w:color="auto" w:fill="auto"/>
            <w:noWrap/>
            <w:vAlign w:val="bottom"/>
            <w:hideMark/>
          </w:tcPr>
          <w:p w14:paraId="1ACE9D5D" w14:textId="35A26D8F"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1.4</w:t>
            </w:r>
          </w:p>
        </w:tc>
      </w:tr>
      <w:tr w:rsidR="00ED5F3B" w:rsidRPr="00966BD4" w14:paraId="57BE771A" w14:textId="77777777" w:rsidTr="00146029">
        <w:trPr>
          <w:trHeight w:hRule="exact" w:val="450"/>
        </w:trPr>
        <w:tc>
          <w:tcPr>
            <w:tcW w:w="625" w:type="pct"/>
            <w:tcBorders>
              <w:top w:val="nil"/>
              <w:left w:val="nil"/>
              <w:bottom w:val="nil"/>
              <w:right w:val="nil"/>
            </w:tcBorders>
            <w:shd w:val="clear" w:color="auto" w:fill="auto"/>
            <w:noWrap/>
            <w:vAlign w:val="bottom"/>
            <w:hideMark/>
          </w:tcPr>
          <w:p w14:paraId="23E417D0"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00724342"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A37</w:t>
            </w:r>
          </w:p>
        </w:tc>
        <w:tc>
          <w:tcPr>
            <w:tcW w:w="2358" w:type="pct"/>
            <w:tcBorders>
              <w:top w:val="nil"/>
              <w:left w:val="nil"/>
              <w:bottom w:val="nil"/>
              <w:right w:val="nil"/>
            </w:tcBorders>
            <w:shd w:val="clear" w:color="auto" w:fill="auto"/>
            <w:vAlign w:val="bottom"/>
            <w:hideMark/>
          </w:tcPr>
          <w:p w14:paraId="3A8AF366"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Exemption of certain income support benefits, pensions or allowances</w:t>
            </w:r>
          </w:p>
        </w:tc>
        <w:tc>
          <w:tcPr>
            <w:tcW w:w="567" w:type="pct"/>
            <w:tcBorders>
              <w:top w:val="nil"/>
              <w:left w:val="nil"/>
              <w:bottom w:val="nil"/>
              <w:right w:val="nil"/>
            </w:tcBorders>
            <w:shd w:val="clear" w:color="auto" w:fill="auto"/>
            <w:noWrap/>
            <w:vAlign w:val="bottom"/>
            <w:hideMark/>
          </w:tcPr>
          <w:p w14:paraId="7FA86146"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1,260</w:t>
            </w:r>
          </w:p>
        </w:tc>
        <w:tc>
          <w:tcPr>
            <w:tcW w:w="539" w:type="pct"/>
            <w:tcBorders>
              <w:top w:val="nil"/>
              <w:left w:val="nil"/>
              <w:bottom w:val="nil"/>
              <w:right w:val="nil"/>
            </w:tcBorders>
            <w:shd w:val="clear" w:color="auto" w:fill="auto"/>
            <w:vAlign w:val="bottom"/>
            <w:hideMark/>
          </w:tcPr>
          <w:p w14:paraId="79A8C232"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6.5</w:t>
            </w:r>
          </w:p>
        </w:tc>
        <w:tc>
          <w:tcPr>
            <w:tcW w:w="567" w:type="pct"/>
            <w:tcBorders>
              <w:top w:val="nil"/>
              <w:left w:val="nil"/>
              <w:bottom w:val="nil"/>
              <w:right w:val="nil"/>
            </w:tcBorders>
            <w:shd w:val="clear" w:color="auto" w:fill="auto"/>
            <w:noWrap/>
            <w:vAlign w:val="bottom"/>
            <w:hideMark/>
          </w:tcPr>
          <w:p w14:paraId="5A2EFD76"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0.0</w:t>
            </w:r>
          </w:p>
        </w:tc>
      </w:tr>
      <w:tr w:rsidR="00ED5F3B" w:rsidRPr="00966BD4" w14:paraId="33D5689C" w14:textId="77777777" w:rsidTr="00146029">
        <w:trPr>
          <w:trHeight w:hRule="exact" w:val="450"/>
        </w:trPr>
        <w:tc>
          <w:tcPr>
            <w:tcW w:w="625" w:type="pct"/>
            <w:tcBorders>
              <w:top w:val="nil"/>
              <w:left w:val="nil"/>
              <w:bottom w:val="nil"/>
              <w:right w:val="nil"/>
            </w:tcBorders>
            <w:shd w:val="clear" w:color="auto" w:fill="auto"/>
            <w:noWrap/>
            <w:vAlign w:val="bottom"/>
            <w:hideMark/>
          </w:tcPr>
          <w:p w14:paraId="40EBF51D"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Other</w:t>
            </w:r>
          </w:p>
        </w:tc>
        <w:tc>
          <w:tcPr>
            <w:tcW w:w="344" w:type="pct"/>
            <w:tcBorders>
              <w:top w:val="nil"/>
              <w:left w:val="nil"/>
              <w:bottom w:val="nil"/>
              <w:right w:val="nil"/>
            </w:tcBorders>
            <w:shd w:val="clear" w:color="auto" w:fill="auto"/>
            <w:noWrap/>
            <w:vAlign w:val="bottom"/>
            <w:hideMark/>
          </w:tcPr>
          <w:p w14:paraId="37273D1E"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F6</w:t>
            </w:r>
          </w:p>
        </w:tc>
        <w:tc>
          <w:tcPr>
            <w:tcW w:w="2358" w:type="pct"/>
            <w:tcBorders>
              <w:top w:val="nil"/>
              <w:left w:val="nil"/>
              <w:bottom w:val="nil"/>
              <w:right w:val="nil"/>
            </w:tcBorders>
            <w:shd w:val="clear" w:color="auto" w:fill="auto"/>
            <w:vAlign w:val="bottom"/>
            <w:hideMark/>
          </w:tcPr>
          <w:p w14:paraId="77606ABB"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Concessional rate of excise levied on aviation gasoline and aviation turbine fuel</w:t>
            </w:r>
          </w:p>
        </w:tc>
        <w:tc>
          <w:tcPr>
            <w:tcW w:w="567" w:type="pct"/>
            <w:tcBorders>
              <w:top w:val="nil"/>
              <w:left w:val="nil"/>
              <w:bottom w:val="nil"/>
              <w:right w:val="nil"/>
            </w:tcBorders>
            <w:shd w:val="clear" w:color="auto" w:fill="auto"/>
            <w:noWrap/>
            <w:vAlign w:val="bottom"/>
            <w:hideMark/>
          </w:tcPr>
          <w:p w14:paraId="48EB8909"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1,190</w:t>
            </w:r>
          </w:p>
        </w:tc>
        <w:tc>
          <w:tcPr>
            <w:tcW w:w="539" w:type="pct"/>
            <w:tcBorders>
              <w:top w:val="nil"/>
              <w:left w:val="nil"/>
              <w:bottom w:val="nil"/>
              <w:right w:val="nil"/>
            </w:tcBorders>
            <w:shd w:val="clear" w:color="auto" w:fill="auto"/>
            <w:vAlign w:val="bottom"/>
            <w:hideMark/>
          </w:tcPr>
          <w:p w14:paraId="0EF4F6EA" w14:textId="6529CE13"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10.2</w:t>
            </w:r>
          </w:p>
        </w:tc>
        <w:tc>
          <w:tcPr>
            <w:tcW w:w="567" w:type="pct"/>
            <w:tcBorders>
              <w:top w:val="nil"/>
              <w:left w:val="nil"/>
              <w:bottom w:val="nil"/>
              <w:right w:val="nil"/>
            </w:tcBorders>
            <w:shd w:val="clear" w:color="auto" w:fill="auto"/>
            <w:noWrap/>
            <w:vAlign w:val="bottom"/>
            <w:hideMark/>
          </w:tcPr>
          <w:p w14:paraId="66B11DE9"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7.9</w:t>
            </w:r>
          </w:p>
        </w:tc>
      </w:tr>
      <w:tr w:rsidR="00ED5F3B" w:rsidRPr="00966BD4" w14:paraId="2B8352BE" w14:textId="77777777" w:rsidTr="00146029">
        <w:trPr>
          <w:trHeight w:hRule="exact" w:val="225"/>
        </w:trPr>
        <w:tc>
          <w:tcPr>
            <w:tcW w:w="625" w:type="pct"/>
            <w:tcBorders>
              <w:top w:val="nil"/>
              <w:left w:val="nil"/>
              <w:bottom w:val="nil"/>
              <w:right w:val="nil"/>
            </w:tcBorders>
            <w:shd w:val="clear" w:color="auto" w:fill="auto"/>
            <w:noWrap/>
            <w:vAlign w:val="bottom"/>
            <w:hideMark/>
          </w:tcPr>
          <w:p w14:paraId="1D1AF0E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2D98ABA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H3</w:t>
            </w:r>
          </w:p>
        </w:tc>
        <w:tc>
          <w:tcPr>
            <w:tcW w:w="2358" w:type="pct"/>
            <w:tcBorders>
              <w:top w:val="nil"/>
              <w:left w:val="nil"/>
              <w:bottom w:val="nil"/>
              <w:right w:val="nil"/>
            </w:tcBorders>
            <w:shd w:val="clear" w:color="auto" w:fill="auto"/>
            <w:vAlign w:val="bottom"/>
            <w:hideMark/>
          </w:tcPr>
          <w:p w14:paraId="54FE086C"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Financial supplies – reduced input tax credits</w:t>
            </w:r>
          </w:p>
        </w:tc>
        <w:tc>
          <w:tcPr>
            <w:tcW w:w="567" w:type="pct"/>
            <w:tcBorders>
              <w:top w:val="nil"/>
              <w:left w:val="nil"/>
              <w:bottom w:val="nil"/>
              <w:right w:val="nil"/>
            </w:tcBorders>
            <w:shd w:val="clear" w:color="auto" w:fill="auto"/>
            <w:noWrap/>
            <w:vAlign w:val="bottom"/>
            <w:hideMark/>
          </w:tcPr>
          <w:p w14:paraId="30960083"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1,150</w:t>
            </w:r>
          </w:p>
        </w:tc>
        <w:tc>
          <w:tcPr>
            <w:tcW w:w="539" w:type="pct"/>
            <w:tcBorders>
              <w:top w:val="nil"/>
              <w:left w:val="nil"/>
              <w:bottom w:val="nil"/>
              <w:right w:val="nil"/>
            </w:tcBorders>
            <w:shd w:val="clear" w:color="auto" w:fill="auto"/>
            <w:vAlign w:val="bottom"/>
            <w:hideMark/>
          </w:tcPr>
          <w:p w14:paraId="059E5CF0"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0.0</w:t>
            </w:r>
          </w:p>
        </w:tc>
        <w:tc>
          <w:tcPr>
            <w:tcW w:w="567" w:type="pct"/>
            <w:tcBorders>
              <w:top w:val="nil"/>
              <w:left w:val="nil"/>
              <w:bottom w:val="nil"/>
              <w:right w:val="nil"/>
            </w:tcBorders>
            <w:shd w:val="clear" w:color="auto" w:fill="auto"/>
            <w:noWrap/>
            <w:vAlign w:val="bottom"/>
            <w:hideMark/>
          </w:tcPr>
          <w:p w14:paraId="27601145"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6.8</w:t>
            </w:r>
          </w:p>
        </w:tc>
      </w:tr>
      <w:tr w:rsidR="00ED5F3B" w:rsidRPr="00966BD4" w14:paraId="6191D3E5" w14:textId="77777777" w:rsidTr="00146029">
        <w:trPr>
          <w:trHeight w:hRule="exact" w:val="225"/>
        </w:trPr>
        <w:tc>
          <w:tcPr>
            <w:tcW w:w="625" w:type="pct"/>
            <w:tcBorders>
              <w:top w:val="nil"/>
              <w:left w:val="nil"/>
              <w:bottom w:val="nil"/>
              <w:right w:val="nil"/>
            </w:tcBorders>
            <w:shd w:val="clear" w:color="auto" w:fill="auto"/>
            <w:noWrap/>
            <w:vAlign w:val="bottom"/>
            <w:hideMark/>
          </w:tcPr>
          <w:p w14:paraId="680A1238"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GST</w:t>
            </w:r>
          </w:p>
        </w:tc>
        <w:tc>
          <w:tcPr>
            <w:tcW w:w="344" w:type="pct"/>
            <w:tcBorders>
              <w:top w:val="nil"/>
              <w:left w:val="nil"/>
              <w:bottom w:val="nil"/>
              <w:right w:val="nil"/>
            </w:tcBorders>
            <w:shd w:val="clear" w:color="auto" w:fill="auto"/>
            <w:noWrap/>
            <w:vAlign w:val="bottom"/>
            <w:hideMark/>
          </w:tcPr>
          <w:p w14:paraId="6569EE52"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H6</w:t>
            </w:r>
          </w:p>
        </w:tc>
        <w:tc>
          <w:tcPr>
            <w:tcW w:w="2358" w:type="pct"/>
            <w:tcBorders>
              <w:top w:val="nil"/>
              <w:left w:val="nil"/>
              <w:bottom w:val="nil"/>
              <w:right w:val="nil"/>
            </w:tcBorders>
            <w:shd w:val="clear" w:color="auto" w:fill="auto"/>
            <w:vAlign w:val="bottom"/>
            <w:hideMark/>
          </w:tcPr>
          <w:p w14:paraId="2BE8A2EC"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Water, sewerage and drainage</w:t>
            </w:r>
          </w:p>
        </w:tc>
        <w:tc>
          <w:tcPr>
            <w:tcW w:w="567" w:type="pct"/>
            <w:tcBorders>
              <w:top w:val="nil"/>
              <w:left w:val="nil"/>
              <w:bottom w:val="nil"/>
              <w:right w:val="nil"/>
            </w:tcBorders>
            <w:shd w:val="clear" w:color="auto" w:fill="auto"/>
            <w:noWrap/>
            <w:vAlign w:val="bottom"/>
            <w:hideMark/>
          </w:tcPr>
          <w:p w14:paraId="16BEF720"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1,130</w:t>
            </w:r>
          </w:p>
        </w:tc>
        <w:tc>
          <w:tcPr>
            <w:tcW w:w="539" w:type="pct"/>
            <w:tcBorders>
              <w:top w:val="nil"/>
              <w:left w:val="nil"/>
              <w:bottom w:val="nil"/>
              <w:right w:val="nil"/>
            </w:tcBorders>
            <w:shd w:val="clear" w:color="auto" w:fill="auto"/>
            <w:vAlign w:val="bottom"/>
            <w:hideMark/>
          </w:tcPr>
          <w:p w14:paraId="371B53BA"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1.5</w:t>
            </w:r>
          </w:p>
        </w:tc>
        <w:tc>
          <w:tcPr>
            <w:tcW w:w="567" w:type="pct"/>
            <w:tcBorders>
              <w:top w:val="nil"/>
              <w:left w:val="nil"/>
              <w:bottom w:val="nil"/>
              <w:right w:val="nil"/>
            </w:tcBorders>
            <w:shd w:val="clear" w:color="auto" w:fill="auto"/>
            <w:noWrap/>
            <w:vAlign w:val="bottom"/>
            <w:hideMark/>
          </w:tcPr>
          <w:p w14:paraId="2E67DCE4"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2.4</w:t>
            </w:r>
          </w:p>
        </w:tc>
      </w:tr>
      <w:tr w:rsidR="00ED5F3B" w:rsidRPr="00966BD4" w14:paraId="052A64F8" w14:textId="77777777" w:rsidTr="00146029">
        <w:trPr>
          <w:trHeight w:hRule="exact" w:val="450"/>
        </w:trPr>
        <w:tc>
          <w:tcPr>
            <w:tcW w:w="625" w:type="pct"/>
            <w:tcBorders>
              <w:top w:val="nil"/>
              <w:left w:val="nil"/>
              <w:bottom w:val="nil"/>
              <w:right w:val="nil"/>
            </w:tcBorders>
            <w:shd w:val="clear" w:color="auto" w:fill="auto"/>
            <w:noWrap/>
            <w:vAlign w:val="bottom"/>
            <w:hideMark/>
          </w:tcPr>
          <w:p w14:paraId="327AD375"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Income</w:t>
            </w:r>
          </w:p>
        </w:tc>
        <w:tc>
          <w:tcPr>
            <w:tcW w:w="344" w:type="pct"/>
            <w:tcBorders>
              <w:top w:val="nil"/>
              <w:left w:val="nil"/>
              <w:bottom w:val="nil"/>
              <w:right w:val="nil"/>
            </w:tcBorders>
            <w:shd w:val="clear" w:color="auto" w:fill="auto"/>
            <w:noWrap/>
            <w:vAlign w:val="bottom"/>
            <w:hideMark/>
          </w:tcPr>
          <w:p w14:paraId="2D0EEC1F"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B12</w:t>
            </w:r>
          </w:p>
        </w:tc>
        <w:tc>
          <w:tcPr>
            <w:tcW w:w="2358" w:type="pct"/>
            <w:tcBorders>
              <w:top w:val="nil"/>
              <w:left w:val="nil"/>
              <w:bottom w:val="nil"/>
              <w:right w:val="nil"/>
            </w:tcBorders>
            <w:shd w:val="clear" w:color="auto" w:fill="auto"/>
            <w:vAlign w:val="bottom"/>
            <w:hideMark/>
          </w:tcPr>
          <w:p w14:paraId="30853914" w14:textId="41D2AB74"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Exemption of inbound non</w:t>
            </w:r>
            <w:r w:rsidR="001B77CF">
              <w:rPr>
                <w:rFonts w:ascii="Arial" w:hAnsi="Arial" w:cs="Arial"/>
                <w:sz w:val="16"/>
                <w:szCs w:val="16"/>
              </w:rPr>
              <w:noBreakHyphen/>
            </w:r>
            <w:r w:rsidRPr="00966BD4">
              <w:rPr>
                <w:rFonts w:ascii="Arial" w:hAnsi="Arial" w:cs="Arial"/>
                <w:sz w:val="16"/>
                <w:szCs w:val="16"/>
              </w:rPr>
              <w:t>portfolio dividends from income tax</w:t>
            </w:r>
          </w:p>
        </w:tc>
        <w:tc>
          <w:tcPr>
            <w:tcW w:w="567" w:type="pct"/>
            <w:tcBorders>
              <w:top w:val="nil"/>
              <w:left w:val="nil"/>
              <w:bottom w:val="nil"/>
              <w:right w:val="nil"/>
            </w:tcBorders>
            <w:shd w:val="clear" w:color="auto" w:fill="auto"/>
            <w:noWrap/>
            <w:vAlign w:val="bottom"/>
            <w:hideMark/>
          </w:tcPr>
          <w:p w14:paraId="01EB899D"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1,010</w:t>
            </w:r>
          </w:p>
        </w:tc>
        <w:tc>
          <w:tcPr>
            <w:tcW w:w="539" w:type="pct"/>
            <w:tcBorders>
              <w:top w:val="nil"/>
              <w:left w:val="nil"/>
              <w:bottom w:val="nil"/>
              <w:right w:val="nil"/>
            </w:tcBorders>
            <w:shd w:val="clear" w:color="auto" w:fill="auto"/>
            <w:vAlign w:val="bottom"/>
            <w:hideMark/>
          </w:tcPr>
          <w:p w14:paraId="440AFB3D"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18.4</w:t>
            </w:r>
          </w:p>
        </w:tc>
        <w:tc>
          <w:tcPr>
            <w:tcW w:w="567" w:type="pct"/>
            <w:tcBorders>
              <w:top w:val="nil"/>
              <w:left w:val="nil"/>
              <w:bottom w:val="nil"/>
              <w:right w:val="nil"/>
            </w:tcBorders>
            <w:shd w:val="clear" w:color="auto" w:fill="auto"/>
            <w:noWrap/>
            <w:vAlign w:val="bottom"/>
            <w:hideMark/>
          </w:tcPr>
          <w:p w14:paraId="74553DA2"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0.8</w:t>
            </w:r>
          </w:p>
        </w:tc>
      </w:tr>
      <w:tr w:rsidR="00ED5F3B" w:rsidRPr="00966BD4" w14:paraId="27B085BC" w14:textId="77777777" w:rsidTr="00146029">
        <w:trPr>
          <w:trHeight w:hRule="exact" w:val="225"/>
        </w:trPr>
        <w:tc>
          <w:tcPr>
            <w:tcW w:w="625" w:type="pct"/>
            <w:tcBorders>
              <w:top w:val="nil"/>
              <w:left w:val="nil"/>
              <w:bottom w:val="nil"/>
              <w:right w:val="nil"/>
            </w:tcBorders>
            <w:shd w:val="clear" w:color="auto" w:fill="auto"/>
            <w:noWrap/>
            <w:vAlign w:val="bottom"/>
            <w:hideMark/>
          </w:tcPr>
          <w:p w14:paraId="46702DF9" w14:textId="77777777" w:rsidR="00ED5F3B" w:rsidRPr="00966BD4" w:rsidRDefault="00ED5F3B" w:rsidP="00ED5F3B">
            <w:pPr>
              <w:spacing w:before="0" w:after="0" w:line="240" w:lineRule="auto"/>
              <w:jc w:val="right"/>
              <w:rPr>
                <w:rFonts w:ascii="Arial" w:hAnsi="Arial" w:cs="Arial"/>
                <w:sz w:val="16"/>
                <w:szCs w:val="16"/>
              </w:rPr>
            </w:pPr>
          </w:p>
        </w:tc>
        <w:tc>
          <w:tcPr>
            <w:tcW w:w="2703" w:type="pct"/>
            <w:gridSpan w:val="2"/>
            <w:tcBorders>
              <w:top w:val="nil"/>
              <w:left w:val="nil"/>
              <w:bottom w:val="nil"/>
              <w:right w:val="nil"/>
            </w:tcBorders>
            <w:shd w:val="clear" w:color="auto" w:fill="auto"/>
            <w:noWrap/>
            <w:vAlign w:val="bottom"/>
            <w:hideMark/>
          </w:tcPr>
          <w:p w14:paraId="58A085EB" w14:textId="77777777" w:rsidR="00ED5F3B" w:rsidRPr="00966BD4" w:rsidRDefault="00ED5F3B" w:rsidP="00ED5F3B">
            <w:pPr>
              <w:spacing w:before="0" w:after="0" w:line="240" w:lineRule="auto"/>
              <w:rPr>
                <w:rFonts w:ascii="Arial" w:hAnsi="Arial" w:cs="Arial"/>
                <w:b/>
                <w:sz w:val="16"/>
                <w:szCs w:val="16"/>
              </w:rPr>
            </w:pPr>
            <w:r w:rsidRPr="00966BD4">
              <w:rPr>
                <w:rFonts w:ascii="Arial" w:hAnsi="Arial" w:cs="Arial"/>
                <w:b/>
                <w:sz w:val="16"/>
                <w:szCs w:val="16"/>
              </w:rPr>
              <w:t>Negative tax expenditures</w:t>
            </w:r>
          </w:p>
        </w:tc>
        <w:tc>
          <w:tcPr>
            <w:tcW w:w="567" w:type="pct"/>
            <w:tcBorders>
              <w:top w:val="nil"/>
              <w:left w:val="nil"/>
              <w:bottom w:val="nil"/>
              <w:right w:val="nil"/>
            </w:tcBorders>
            <w:shd w:val="clear" w:color="auto" w:fill="auto"/>
            <w:noWrap/>
            <w:vAlign w:val="bottom"/>
            <w:hideMark/>
          </w:tcPr>
          <w:p w14:paraId="213E67C2" w14:textId="77777777" w:rsidR="00ED5F3B" w:rsidRPr="00966BD4" w:rsidRDefault="00ED5F3B" w:rsidP="00ED5F3B">
            <w:pPr>
              <w:spacing w:before="0" w:after="0" w:line="240" w:lineRule="auto"/>
              <w:rPr>
                <w:rFonts w:ascii="Arial" w:hAnsi="Arial" w:cs="Arial"/>
                <w:b/>
                <w:sz w:val="16"/>
                <w:szCs w:val="16"/>
              </w:rPr>
            </w:pPr>
          </w:p>
        </w:tc>
        <w:tc>
          <w:tcPr>
            <w:tcW w:w="539" w:type="pct"/>
            <w:tcBorders>
              <w:top w:val="nil"/>
              <w:left w:val="nil"/>
              <w:bottom w:val="nil"/>
              <w:right w:val="nil"/>
            </w:tcBorders>
            <w:shd w:val="clear" w:color="auto" w:fill="auto"/>
            <w:vAlign w:val="bottom"/>
            <w:hideMark/>
          </w:tcPr>
          <w:p w14:paraId="721F39B7" w14:textId="77777777" w:rsidR="00ED5F3B" w:rsidRPr="00966BD4" w:rsidRDefault="00ED5F3B" w:rsidP="00ED5F3B">
            <w:pPr>
              <w:spacing w:before="0" w:after="0" w:line="240" w:lineRule="auto"/>
              <w:rPr>
                <w:rFonts w:ascii="Times New Roman" w:hAnsi="Times New Roman"/>
                <w:sz w:val="20"/>
              </w:rPr>
            </w:pPr>
          </w:p>
        </w:tc>
        <w:tc>
          <w:tcPr>
            <w:tcW w:w="567" w:type="pct"/>
            <w:tcBorders>
              <w:top w:val="nil"/>
              <w:left w:val="nil"/>
              <w:bottom w:val="nil"/>
              <w:right w:val="nil"/>
            </w:tcBorders>
            <w:shd w:val="clear" w:color="auto" w:fill="auto"/>
            <w:vAlign w:val="bottom"/>
            <w:hideMark/>
          </w:tcPr>
          <w:p w14:paraId="32F6232F" w14:textId="77777777" w:rsidR="00ED5F3B" w:rsidRPr="00966BD4" w:rsidRDefault="00ED5F3B" w:rsidP="00ED5F3B">
            <w:pPr>
              <w:spacing w:before="0" w:after="0" w:line="240" w:lineRule="auto"/>
              <w:jc w:val="right"/>
              <w:rPr>
                <w:rFonts w:ascii="Times New Roman" w:hAnsi="Times New Roman"/>
                <w:sz w:val="20"/>
              </w:rPr>
            </w:pPr>
          </w:p>
        </w:tc>
      </w:tr>
      <w:tr w:rsidR="00ED5F3B" w:rsidRPr="00966BD4" w14:paraId="406A3C70" w14:textId="77777777" w:rsidTr="00146029">
        <w:trPr>
          <w:trHeight w:hRule="exact" w:val="225"/>
        </w:trPr>
        <w:tc>
          <w:tcPr>
            <w:tcW w:w="625" w:type="pct"/>
            <w:tcBorders>
              <w:top w:val="nil"/>
              <w:left w:val="nil"/>
              <w:bottom w:val="nil"/>
              <w:right w:val="nil"/>
            </w:tcBorders>
            <w:shd w:val="clear" w:color="auto" w:fill="auto"/>
            <w:noWrap/>
            <w:vAlign w:val="bottom"/>
            <w:hideMark/>
          </w:tcPr>
          <w:p w14:paraId="3A0757F6"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Other</w:t>
            </w:r>
          </w:p>
        </w:tc>
        <w:tc>
          <w:tcPr>
            <w:tcW w:w="344" w:type="pct"/>
            <w:tcBorders>
              <w:top w:val="nil"/>
              <w:left w:val="nil"/>
              <w:bottom w:val="nil"/>
              <w:right w:val="nil"/>
            </w:tcBorders>
            <w:shd w:val="clear" w:color="auto" w:fill="auto"/>
            <w:noWrap/>
            <w:vAlign w:val="bottom"/>
            <w:hideMark/>
          </w:tcPr>
          <w:p w14:paraId="46C649F7"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F21</w:t>
            </w:r>
          </w:p>
        </w:tc>
        <w:tc>
          <w:tcPr>
            <w:tcW w:w="2358" w:type="pct"/>
            <w:tcBorders>
              <w:top w:val="nil"/>
              <w:left w:val="nil"/>
              <w:bottom w:val="nil"/>
              <w:right w:val="nil"/>
            </w:tcBorders>
            <w:shd w:val="clear" w:color="auto" w:fill="auto"/>
            <w:vAlign w:val="bottom"/>
            <w:hideMark/>
          </w:tcPr>
          <w:p w14:paraId="40105B27"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Customs duty</w:t>
            </w:r>
          </w:p>
        </w:tc>
        <w:tc>
          <w:tcPr>
            <w:tcW w:w="567" w:type="pct"/>
            <w:tcBorders>
              <w:top w:val="nil"/>
              <w:left w:val="nil"/>
              <w:bottom w:val="nil"/>
              <w:right w:val="nil"/>
            </w:tcBorders>
            <w:shd w:val="clear" w:color="auto" w:fill="auto"/>
            <w:noWrap/>
            <w:vAlign w:val="bottom"/>
            <w:hideMark/>
          </w:tcPr>
          <w:p w14:paraId="4E85B983" w14:textId="3D6EE2AB"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2,070</w:t>
            </w:r>
          </w:p>
        </w:tc>
        <w:tc>
          <w:tcPr>
            <w:tcW w:w="539" w:type="pct"/>
            <w:tcBorders>
              <w:top w:val="nil"/>
              <w:left w:val="nil"/>
              <w:bottom w:val="nil"/>
              <w:right w:val="nil"/>
            </w:tcBorders>
            <w:shd w:val="clear" w:color="auto" w:fill="auto"/>
            <w:vAlign w:val="bottom"/>
            <w:hideMark/>
          </w:tcPr>
          <w:p w14:paraId="7B2AC854" w14:textId="621FB7A9"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0.5</w:t>
            </w:r>
          </w:p>
        </w:tc>
        <w:tc>
          <w:tcPr>
            <w:tcW w:w="567" w:type="pct"/>
            <w:tcBorders>
              <w:top w:val="nil"/>
              <w:left w:val="nil"/>
              <w:bottom w:val="nil"/>
              <w:right w:val="nil"/>
            </w:tcBorders>
            <w:shd w:val="clear" w:color="auto" w:fill="auto"/>
            <w:noWrap/>
            <w:vAlign w:val="bottom"/>
            <w:hideMark/>
          </w:tcPr>
          <w:p w14:paraId="33543461" w14:textId="25EADAB0"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14.9</w:t>
            </w:r>
          </w:p>
        </w:tc>
      </w:tr>
      <w:tr w:rsidR="00ED5F3B" w:rsidRPr="00966BD4" w14:paraId="09E542F8" w14:textId="77777777" w:rsidTr="00146029">
        <w:trPr>
          <w:trHeight w:hRule="exact" w:val="225"/>
        </w:trPr>
        <w:tc>
          <w:tcPr>
            <w:tcW w:w="625" w:type="pct"/>
            <w:tcBorders>
              <w:top w:val="nil"/>
              <w:left w:val="nil"/>
              <w:bottom w:val="single" w:sz="4" w:space="0" w:color="auto"/>
              <w:right w:val="nil"/>
            </w:tcBorders>
            <w:shd w:val="clear" w:color="auto" w:fill="auto"/>
            <w:noWrap/>
            <w:vAlign w:val="bottom"/>
            <w:hideMark/>
          </w:tcPr>
          <w:p w14:paraId="469D6E4D"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Other</w:t>
            </w:r>
          </w:p>
        </w:tc>
        <w:tc>
          <w:tcPr>
            <w:tcW w:w="344" w:type="pct"/>
            <w:tcBorders>
              <w:top w:val="nil"/>
              <w:left w:val="nil"/>
              <w:bottom w:val="single" w:sz="4" w:space="0" w:color="auto"/>
              <w:right w:val="nil"/>
            </w:tcBorders>
            <w:shd w:val="clear" w:color="auto" w:fill="auto"/>
            <w:noWrap/>
            <w:vAlign w:val="bottom"/>
            <w:hideMark/>
          </w:tcPr>
          <w:p w14:paraId="209D631B"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F4</w:t>
            </w:r>
          </w:p>
        </w:tc>
        <w:tc>
          <w:tcPr>
            <w:tcW w:w="2358" w:type="pct"/>
            <w:tcBorders>
              <w:top w:val="nil"/>
              <w:left w:val="nil"/>
              <w:bottom w:val="single" w:sz="4" w:space="0" w:color="auto"/>
              <w:right w:val="nil"/>
            </w:tcBorders>
            <w:shd w:val="clear" w:color="auto" w:fill="auto"/>
            <w:vAlign w:val="bottom"/>
            <w:hideMark/>
          </w:tcPr>
          <w:p w14:paraId="50EFC232" w14:textId="77777777" w:rsidR="00ED5F3B" w:rsidRPr="00966BD4" w:rsidRDefault="00ED5F3B" w:rsidP="00ED5F3B">
            <w:pPr>
              <w:spacing w:before="0" w:after="0" w:line="240" w:lineRule="auto"/>
              <w:rPr>
                <w:rFonts w:ascii="Arial" w:hAnsi="Arial" w:cs="Arial"/>
                <w:sz w:val="16"/>
                <w:szCs w:val="16"/>
              </w:rPr>
            </w:pPr>
            <w:r w:rsidRPr="00966BD4">
              <w:rPr>
                <w:rFonts w:ascii="Arial" w:hAnsi="Arial" w:cs="Arial"/>
                <w:sz w:val="16"/>
                <w:szCs w:val="16"/>
              </w:rPr>
              <w:t>Luxury car tax</w:t>
            </w:r>
          </w:p>
        </w:tc>
        <w:tc>
          <w:tcPr>
            <w:tcW w:w="567" w:type="pct"/>
            <w:tcBorders>
              <w:top w:val="nil"/>
              <w:left w:val="nil"/>
              <w:bottom w:val="single" w:sz="4" w:space="0" w:color="auto"/>
              <w:right w:val="nil"/>
            </w:tcBorders>
            <w:shd w:val="clear" w:color="auto" w:fill="auto"/>
            <w:noWrap/>
            <w:vAlign w:val="bottom"/>
            <w:hideMark/>
          </w:tcPr>
          <w:p w14:paraId="18F9EBA2" w14:textId="1657A413"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1,120</w:t>
            </w:r>
          </w:p>
        </w:tc>
        <w:tc>
          <w:tcPr>
            <w:tcW w:w="539" w:type="pct"/>
            <w:tcBorders>
              <w:top w:val="nil"/>
              <w:left w:val="nil"/>
              <w:bottom w:val="single" w:sz="4" w:space="0" w:color="auto"/>
              <w:right w:val="nil"/>
            </w:tcBorders>
            <w:shd w:val="clear" w:color="auto" w:fill="auto"/>
            <w:vAlign w:val="bottom"/>
            <w:hideMark/>
          </w:tcPr>
          <w:p w14:paraId="46D155CE" w14:textId="77777777" w:rsidR="00ED5F3B" w:rsidRPr="00966BD4" w:rsidRDefault="00ED5F3B" w:rsidP="00ED5F3B">
            <w:pPr>
              <w:spacing w:before="0" w:after="0" w:line="240" w:lineRule="auto"/>
              <w:jc w:val="right"/>
              <w:rPr>
                <w:rFonts w:ascii="Arial" w:hAnsi="Arial" w:cs="Arial"/>
                <w:sz w:val="16"/>
                <w:szCs w:val="16"/>
              </w:rPr>
            </w:pPr>
            <w:r w:rsidRPr="00966BD4">
              <w:rPr>
                <w:rFonts w:ascii="Arial" w:hAnsi="Arial" w:cs="Arial"/>
                <w:sz w:val="16"/>
                <w:szCs w:val="16"/>
              </w:rPr>
              <w:t>11.9</w:t>
            </w:r>
          </w:p>
        </w:tc>
        <w:tc>
          <w:tcPr>
            <w:tcW w:w="567" w:type="pct"/>
            <w:tcBorders>
              <w:top w:val="nil"/>
              <w:left w:val="nil"/>
              <w:bottom w:val="single" w:sz="4" w:space="0" w:color="auto"/>
              <w:right w:val="nil"/>
            </w:tcBorders>
            <w:shd w:val="clear" w:color="auto" w:fill="auto"/>
            <w:noWrap/>
            <w:vAlign w:val="bottom"/>
            <w:hideMark/>
          </w:tcPr>
          <w:p w14:paraId="67D5A344" w14:textId="5C3B9A94" w:rsidR="00ED5F3B" w:rsidRPr="00966BD4" w:rsidRDefault="001B77CF" w:rsidP="00ED5F3B">
            <w:pPr>
              <w:spacing w:before="0" w:after="0" w:line="240" w:lineRule="auto"/>
              <w:jc w:val="right"/>
              <w:rPr>
                <w:rFonts w:ascii="Arial" w:hAnsi="Arial" w:cs="Arial"/>
                <w:sz w:val="16"/>
                <w:szCs w:val="16"/>
              </w:rPr>
            </w:pPr>
            <w:r>
              <w:rPr>
                <w:rFonts w:ascii="Arial" w:hAnsi="Arial" w:cs="Arial"/>
                <w:sz w:val="16"/>
                <w:szCs w:val="16"/>
              </w:rPr>
              <w:noBreakHyphen/>
            </w:r>
            <w:r w:rsidR="00ED5F3B" w:rsidRPr="00966BD4">
              <w:rPr>
                <w:rFonts w:ascii="Arial" w:hAnsi="Arial" w:cs="Arial"/>
                <w:sz w:val="16"/>
                <w:szCs w:val="16"/>
              </w:rPr>
              <w:t>0.9</w:t>
            </w:r>
          </w:p>
        </w:tc>
      </w:tr>
    </w:tbl>
    <w:p w14:paraId="6EDAC80E" w14:textId="385629CF" w:rsidR="008C56E1" w:rsidRPr="00E0267E" w:rsidRDefault="00396D7C" w:rsidP="00E149B8">
      <w:pPr>
        <w:pStyle w:val="ChartandTableFootnote"/>
        <w:ind w:left="0" w:firstLine="0"/>
        <w:rPr>
          <w:rFonts w:eastAsiaTheme="minorHAnsi"/>
          <w:color w:val="auto"/>
        </w:rPr>
      </w:pPr>
      <w:r w:rsidRPr="00966BD4">
        <w:rPr>
          <w:color w:val="auto"/>
        </w:rPr>
        <w:t>*</w:t>
      </w:r>
      <w:r w:rsidR="00A74CE3" w:rsidRPr="00966BD4">
        <w:rPr>
          <w:color w:val="auto"/>
        </w:rPr>
        <w:t xml:space="preserve">For deductions, revenue forgone refers to </w:t>
      </w:r>
      <w:r w:rsidR="003D0621" w:rsidRPr="00966BD4">
        <w:rPr>
          <w:color w:val="auto"/>
        </w:rPr>
        <w:t xml:space="preserve">the reduction in tax </w:t>
      </w:r>
      <w:r w:rsidR="003504CE" w:rsidRPr="00966BD4">
        <w:rPr>
          <w:color w:val="auto"/>
        </w:rPr>
        <w:t xml:space="preserve">in relation to </w:t>
      </w:r>
      <w:r w:rsidR="0068467B" w:rsidRPr="00966BD4">
        <w:rPr>
          <w:color w:val="auto"/>
        </w:rPr>
        <w:t xml:space="preserve">the specified income year </w:t>
      </w:r>
      <w:r w:rsidR="00115897" w:rsidRPr="00966BD4">
        <w:rPr>
          <w:color w:val="auto"/>
        </w:rPr>
        <w:t xml:space="preserve">due to the utilisation </w:t>
      </w:r>
      <w:r w:rsidR="000B7231" w:rsidRPr="00966BD4">
        <w:rPr>
          <w:color w:val="auto"/>
        </w:rPr>
        <w:t>of deductions.</w:t>
      </w:r>
    </w:p>
    <w:sectPr w:rsidR="008C56E1" w:rsidRPr="00E0267E" w:rsidSect="00E73A6C">
      <w:footerReference w:type="even" r:id="rId23"/>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9E9C" w14:textId="77777777" w:rsidR="00715A69" w:rsidRDefault="00715A69" w:rsidP="00774E24">
      <w:r>
        <w:separator/>
      </w:r>
    </w:p>
  </w:endnote>
  <w:endnote w:type="continuationSeparator" w:id="0">
    <w:p w14:paraId="20F49335" w14:textId="77777777" w:rsidR="00715A69" w:rsidRDefault="00715A69" w:rsidP="00774E24">
      <w:r>
        <w:continuationSeparator/>
      </w:r>
    </w:p>
  </w:endnote>
  <w:endnote w:type="continuationNotice" w:id="1">
    <w:p w14:paraId="228E5414" w14:textId="77777777" w:rsidR="00715A69" w:rsidRDefault="00715A69" w:rsidP="0077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FC43" w14:textId="52A9F5EE" w:rsidR="00BC4E72" w:rsidRDefault="00F14BE1" w:rsidP="0053051A">
    <w:pPr>
      <w:pStyle w:val="FooterOdd"/>
    </w:pPr>
    <w:r>
      <w:fldChar w:fldCharType="begin"/>
    </w:r>
    <w:r>
      <w:instrText xml:space="preserve"> SUBJECT   \* MERGEFORMAT </w:instrText>
    </w:r>
    <w:r>
      <w:fldChar w:fldCharType="separate"/>
    </w:r>
    <w:r w:rsidR="00C4781B">
      <w:t>Statement 5: Revenue</w:t>
    </w:r>
    <w:r>
      <w:fldChar w:fldCharType="end"/>
    </w:r>
    <w:r w:rsidR="0053051A" w:rsidRPr="00B3705D">
      <w:t xml:space="preserve">  |  </w:t>
    </w:r>
    <w:r w:rsidR="0053051A" w:rsidRPr="00B3705D">
      <w:rPr>
        <w:b/>
        <w:bCs/>
      </w:rPr>
      <w:t xml:space="preserve">Page </w:t>
    </w:r>
    <w:r w:rsidR="0053051A" w:rsidRPr="00B3705D">
      <w:rPr>
        <w:b/>
        <w:bCs/>
      </w:rPr>
      <w:fldChar w:fldCharType="begin"/>
    </w:r>
    <w:r w:rsidR="0053051A" w:rsidRPr="00B3705D">
      <w:rPr>
        <w:b/>
        <w:bCs/>
      </w:rPr>
      <w:instrText xml:space="preserve"> PAGE  \* Arabic  \* MERGEFORMAT </w:instrText>
    </w:r>
    <w:r w:rsidR="0053051A" w:rsidRPr="00B3705D">
      <w:rPr>
        <w:b/>
        <w:bCs/>
      </w:rPr>
      <w:fldChar w:fldCharType="separate"/>
    </w:r>
    <w:r w:rsidR="0053051A">
      <w:rPr>
        <w:b/>
        <w:bCs/>
      </w:rPr>
      <w:t>1</w:t>
    </w:r>
    <w:r w:rsidR="0053051A" w:rsidRPr="00B370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287" w14:textId="5AA5B806" w:rsidR="00D81A31" w:rsidRPr="001A7712" w:rsidRDefault="00F14BE1" w:rsidP="00BF5E88">
    <w:pPr>
      <w:pStyle w:val="FooterOdd"/>
    </w:pPr>
    <w:r>
      <w:fldChar w:fldCharType="begin"/>
    </w:r>
    <w:r>
      <w:instrText xml:space="preserve"> SUBJECT   \* MERGEFORMAT </w:instrText>
    </w:r>
    <w:r>
      <w:fldChar w:fldCharType="separate"/>
    </w:r>
    <w:r w:rsidR="00C4781B">
      <w:t>Statement 5: Revenue</w:t>
    </w:r>
    <w:r>
      <w:fldChar w:fldCharType="end"/>
    </w:r>
    <w:r w:rsidR="002C596C" w:rsidRPr="001A7712">
      <w:t xml:space="preserve">  |  </w:t>
    </w:r>
    <w:r w:rsidR="002C596C" w:rsidRPr="00653D2B">
      <w:rPr>
        <w:b/>
        <w:bCs/>
      </w:rPr>
      <w:t xml:space="preserve">Page </w:t>
    </w:r>
    <w:r w:rsidR="002C596C" w:rsidRPr="00653D2B">
      <w:rPr>
        <w:b/>
        <w:bCs/>
      </w:rPr>
      <w:fldChar w:fldCharType="begin"/>
    </w:r>
    <w:r w:rsidR="002C596C" w:rsidRPr="00653D2B">
      <w:rPr>
        <w:b/>
        <w:bCs/>
      </w:rPr>
      <w:instrText xml:space="preserve"> PAGE  \* Arabic  \* MERGEFORMAT </w:instrText>
    </w:r>
    <w:r w:rsidR="002C596C" w:rsidRPr="00653D2B">
      <w:rPr>
        <w:b/>
        <w:bCs/>
      </w:rPr>
      <w:fldChar w:fldCharType="separate"/>
    </w:r>
    <w:r w:rsidR="002C596C" w:rsidRPr="00653D2B">
      <w:rPr>
        <w:b/>
        <w:bCs/>
      </w:rPr>
      <w:t>1</w:t>
    </w:r>
    <w:r w:rsidR="002C596C" w:rsidRPr="00653D2B">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F2AD" w14:textId="4C766E7D" w:rsidR="008C0104" w:rsidRDefault="008C0104" w:rsidP="008C0104">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F14BE1">
      <w:fldChar w:fldCharType="begin"/>
    </w:r>
    <w:r w:rsidR="00F14BE1">
      <w:instrText xml:space="preserve"> SUBJECT   \* MERGEFORMAT </w:instrText>
    </w:r>
    <w:r w:rsidR="00F14BE1">
      <w:fldChar w:fldCharType="separate"/>
    </w:r>
    <w:r w:rsidR="00C4781B">
      <w:t>Statement 5: Revenue</w:t>
    </w:r>
    <w:r w:rsidR="00F14B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60B7" w14:textId="77777777" w:rsidR="00715A69" w:rsidRPr="003C1CA4" w:rsidRDefault="00715A69" w:rsidP="00774E24">
      <w:r w:rsidRPr="003C1CA4">
        <w:t>—</w:t>
      </w:r>
    </w:p>
  </w:footnote>
  <w:footnote w:type="continuationSeparator" w:id="0">
    <w:p w14:paraId="7B8A9DC3" w14:textId="77777777" w:rsidR="00715A69" w:rsidRDefault="00715A69" w:rsidP="00774E24">
      <w:r>
        <w:continuationSeparator/>
      </w:r>
    </w:p>
  </w:footnote>
  <w:footnote w:type="continuationNotice" w:id="1">
    <w:p w14:paraId="35C1DB5E" w14:textId="77777777" w:rsidR="00715A69" w:rsidRDefault="00715A69" w:rsidP="00774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4DA4" w14:textId="594B717B" w:rsidR="00BC4E72" w:rsidRDefault="00E14FBF" w:rsidP="001C5E21">
    <w:pPr>
      <w:pStyle w:val="Header"/>
      <w:tabs>
        <w:tab w:val="clear" w:pos="4153"/>
        <w:tab w:val="clear" w:pos="8306"/>
        <w:tab w:val="left" w:pos="5086"/>
      </w:tabs>
    </w:pPr>
    <w:r>
      <w:rPr>
        <w:noProof/>
      </w:rPr>
      <w:drawing>
        <wp:anchor distT="0" distB="0" distL="114300" distR="114300" simplePos="0" relativeHeight="251658241" behindDoc="1" locked="0" layoutInCell="1" allowOverlap="1" wp14:anchorId="3E4D53F3" wp14:editId="13C5DA0C">
          <wp:simplePos x="0" y="0"/>
          <wp:positionH relativeFrom="page">
            <wp:align>center</wp:align>
          </wp:positionH>
          <wp:positionV relativeFrom="page">
            <wp:align>top</wp:align>
          </wp:positionV>
          <wp:extent cx="7560000" cy="10692000"/>
          <wp:effectExtent l="0" t="0" r="3175"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128" w14:textId="6CE26F60" w:rsidR="00D81A31" w:rsidRPr="000004EA" w:rsidRDefault="00E14FBF" w:rsidP="000004EA">
    <w:pPr>
      <w:pStyle w:val="Header"/>
    </w:pPr>
    <w:r>
      <w:rPr>
        <w:noProof/>
      </w:rPr>
      <w:drawing>
        <wp:anchor distT="0" distB="0" distL="114300" distR="114300" simplePos="0" relativeHeight="251658240" behindDoc="1" locked="0" layoutInCell="1" allowOverlap="1" wp14:anchorId="45D7A704" wp14:editId="284AC252">
          <wp:simplePos x="0" y="0"/>
          <wp:positionH relativeFrom="page">
            <wp:align>center</wp:align>
          </wp:positionH>
          <wp:positionV relativeFrom="page">
            <wp:align>top</wp:align>
          </wp:positionV>
          <wp:extent cx="7560000" cy="10692000"/>
          <wp:effectExtent l="0" t="0" r="317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D907F8" w14:paraId="10DA70A1" w14:textId="77777777" w:rsidTr="008C56E1">
      <w:trPr>
        <w:trHeight w:hRule="exact" w:val="340"/>
      </w:trPr>
      <w:tc>
        <w:tcPr>
          <w:tcW w:w="7797" w:type="dxa"/>
        </w:tcPr>
        <w:p w14:paraId="066CA3F4" w14:textId="490B6C43" w:rsidR="00D907F8" w:rsidRPr="008C56E1" w:rsidRDefault="00D907F8" w:rsidP="008C56E1">
          <w:pPr>
            <w:pStyle w:val="HeaderEven"/>
          </w:pPr>
          <w:r w:rsidRPr="008C56E1">
            <w:rPr>
              <w:noProof/>
              <w:position w:val="-8"/>
            </w:rPr>
            <w:drawing>
              <wp:inline distT="0" distB="0" distL="0" distR="0" wp14:anchorId="3CECF48E" wp14:editId="6D015978">
                <wp:extent cx="878400" cy="1980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r w:rsidR="00F14BE1">
            <w:fldChar w:fldCharType="begin"/>
          </w:r>
          <w:r w:rsidR="00F14BE1">
            <w:instrText xml:space="preserve"> TITLE   \* MERGEFORMAT </w:instrText>
          </w:r>
          <w:r w:rsidR="00F14BE1">
            <w:fldChar w:fldCharType="separate"/>
          </w:r>
          <w:r w:rsidR="00C4781B">
            <w:t>Budget Paper No. 1</w:t>
          </w:r>
          <w:r w:rsidR="00F14BE1">
            <w:fldChar w:fldCharType="end"/>
          </w:r>
        </w:p>
      </w:tc>
    </w:tr>
  </w:tbl>
  <w:p w14:paraId="2BA76B65" w14:textId="7587182A" w:rsidR="006F0361" w:rsidRPr="007703C7" w:rsidRDefault="007E753C" w:rsidP="00C97985">
    <w:pPr>
      <w:pStyle w:val="Header"/>
      <w:rPr>
        <w:sz w:val="2"/>
        <w:szCs w:val="2"/>
      </w:rPr>
    </w:pPr>
    <w:r>
      <w:rPr>
        <w:noProof/>
      </w:rPr>
      <w:drawing>
        <wp:anchor distT="0" distB="0" distL="114300" distR="114300" simplePos="0" relativeHeight="251658243" behindDoc="1" locked="1" layoutInCell="1" allowOverlap="1" wp14:anchorId="3D77DEEA" wp14:editId="3EFB7FF9">
          <wp:simplePos x="0" y="0"/>
          <wp:positionH relativeFrom="page">
            <wp:align>left</wp:align>
          </wp:positionH>
          <wp:positionV relativeFrom="page">
            <wp:align>top</wp:align>
          </wp:positionV>
          <wp:extent cx="7560000" cy="10692000"/>
          <wp:effectExtent l="0" t="0" r="317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CD4A08" w14:paraId="40C9757E" w14:textId="77777777" w:rsidTr="008C56E1">
      <w:trPr>
        <w:trHeight w:hRule="exact" w:val="340"/>
      </w:trPr>
      <w:tc>
        <w:tcPr>
          <w:tcW w:w="7797" w:type="dxa"/>
        </w:tcPr>
        <w:p w14:paraId="02EC5D71" w14:textId="3346E986" w:rsidR="00CD4A08" w:rsidRPr="00D13BF9" w:rsidRDefault="00F14BE1" w:rsidP="00D13BF9">
          <w:pPr>
            <w:pStyle w:val="HeaderOdd"/>
          </w:pPr>
          <w:r>
            <w:fldChar w:fldCharType="begin"/>
          </w:r>
          <w:r>
            <w:instrText xml:space="preserve"> TITLE   \* MERGEFORMAT </w:instrText>
          </w:r>
          <w:r>
            <w:fldChar w:fldCharType="separate"/>
          </w:r>
          <w:r w:rsidR="00C4781B">
            <w:t>Budget Paper No. 1</w:t>
          </w:r>
          <w:r>
            <w:fldChar w:fldCharType="end"/>
          </w:r>
          <w:r w:rsidR="00CD4A08" w:rsidRPr="00D13BF9">
            <w:t xml:space="preserve">  |  </w:t>
          </w:r>
          <w:r w:rsidR="00CD4A08" w:rsidRPr="00C9389A">
            <w:rPr>
              <w:noProof/>
              <w:position w:val="-8"/>
            </w:rPr>
            <w:drawing>
              <wp:inline distT="0" distB="0" distL="0" distR="0" wp14:anchorId="0BAD3A85" wp14:editId="36044D7D">
                <wp:extent cx="878400" cy="1980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66ADDD85" w14:textId="611BDC86" w:rsidR="00D907F8" w:rsidRPr="000635BE" w:rsidRDefault="00D907F8" w:rsidP="000635BE">
    <w:pPr>
      <w:pStyle w:val="HeaderOdd"/>
      <w:rPr>
        <w:sz w:val="2"/>
        <w:szCs w:val="4"/>
      </w:rPr>
    </w:pPr>
  </w:p>
  <w:p w14:paraId="50F7C426" w14:textId="17FB7F4C" w:rsidR="006F0361" w:rsidRPr="00AA5439" w:rsidRDefault="00E14FBF">
    <w:pPr>
      <w:pStyle w:val="Header"/>
      <w:rPr>
        <w:sz w:val="2"/>
        <w:szCs w:val="2"/>
      </w:rPr>
    </w:pPr>
    <w:r>
      <w:rPr>
        <w:noProof/>
      </w:rPr>
      <w:drawing>
        <wp:anchor distT="0" distB="0" distL="114300" distR="114300" simplePos="0" relativeHeight="251658244" behindDoc="1" locked="0" layoutInCell="1" allowOverlap="1" wp14:anchorId="264F3BF6" wp14:editId="5E1D8DA6">
          <wp:simplePos x="0" y="0"/>
          <wp:positionH relativeFrom="page">
            <wp:align>center</wp:align>
          </wp:positionH>
          <wp:positionV relativeFrom="page">
            <wp:align>top</wp:align>
          </wp:positionV>
          <wp:extent cx="7560000" cy="10692000"/>
          <wp:effectExtent l="0" t="0" r="3175"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40AC" w14:textId="1BCA6DE8" w:rsidR="00421C77" w:rsidRPr="005B2F30" w:rsidRDefault="00E14FBF">
    <w:pPr>
      <w:pStyle w:val="Header"/>
      <w:rPr>
        <w:sz w:val="2"/>
        <w:szCs w:val="2"/>
      </w:rPr>
    </w:pPr>
    <w:r>
      <w:rPr>
        <w:noProof/>
      </w:rPr>
      <w:drawing>
        <wp:anchor distT="0" distB="0" distL="114300" distR="114300" simplePos="0" relativeHeight="251658242" behindDoc="1" locked="0" layoutInCell="1" allowOverlap="1" wp14:anchorId="3FE72E81" wp14:editId="2ECFFFF5">
          <wp:simplePos x="0" y="0"/>
          <wp:positionH relativeFrom="page">
            <wp:align>center</wp:align>
          </wp:positionH>
          <wp:positionV relativeFrom="page">
            <wp:align>top</wp:align>
          </wp:positionV>
          <wp:extent cx="7560000" cy="106920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C84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2414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64B3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3A02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CA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02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803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6419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E1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CC0D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208290C"/>
    <w:multiLevelType w:val="multilevel"/>
    <w:tmpl w:val="246CB474"/>
    <w:name w:val="StandardNumberedList"/>
    <w:lvl w:ilvl="0">
      <w:start w:val="1"/>
      <w:numFmt w:val="decimal"/>
      <w:pStyle w:val="OutlineNumbered1"/>
      <w:lvlText w:val="%1."/>
      <w:lvlJc w:val="left"/>
      <w:pPr>
        <w:tabs>
          <w:tab w:val="num" w:pos="449"/>
        </w:tabs>
        <w:ind w:left="449" w:hanging="449"/>
      </w:pPr>
    </w:lvl>
    <w:lvl w:ilvl="1">
      <w:start w:val="1"/>
      <w:numFmt w:val="decimal"/>
      <w:pStyle w:val="OutlineNumbered2"/>
      <w:lvlText w:val="%1.%2."/>
      <w:lvlJc w:val="left"/>
      <w:pPr>
        <w:tabs>
          <w:tab w:val="num" w:pos="898"/>
        </w:tabs>
        <w:ind w:left="898" w:hanging="449"/>
      </w:pPr>
    </w:lvl>
    <w:lvl w:ilvl="2">
      <w:start w:val="1"/>
      <w:numFmt w:val="decimal"/>
      <w:pStyle w:val="OutlineNumbered3"/>
      <w:lvlText w:val="%1.%2.%3."/>
      <w:lvlJc w:val="left"/>
      <w:pPr>
        <w:tabs>
          <w:tab w:val="num" w:pos="1347"/>
        </w:tabs>
        <w:ind w:left="1347" w:hanging="44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num w:numId="1" w16cid:durableId="1403410866">
    <w:abstractNumId w:val="14"/>
  </w:num>
  <w:num w:numId="2" w16cid:durableId="70975900">
    <w:abstractNumId w:val="11"/>
  </w:num>
  <w:num w:numId="3" w16cid:durableId="1903564601">
    <w:abstractNumId w:val="10"/>
  </w:num>
  <w:num w:numId="4" w16cid:durableId="541596858">
    <w:abstractNumId w:val="10"/>
  </w:num>
  <w:num w:numId="5" w16cid:durableId="131681990">
    <w:abstractNumId w:val="12"/>
  </w:num>
  <w:num w:numId="6" w16cid:durableId="1837720773">
    <w:abstractNumId w:val="13"/>
  </w:num>
  <w:num w:numId="7" w16cid:durableId="1131939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76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9013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25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042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0634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6932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2091959">
    <w:abstractNumId w:val="9"/>
  </w:num>
  <w:num w:numId="15" w16cid:durableId="916014768">
    <w:abstractNumId w:val="7"/>
  </w:num>
  <w:num w:numId="16" w16cid:durableId="978732633">
    <w:abstractNumId w:val="6"/>
  </w:num>
  <w:num w:numId="17" w16cid:durableId="38289984">
    <w:abstractNumId w:val="5"/>
  </w:num>
  <w:num w:numId="18" w16cid:durableId="768045453">
    <w:abstractNumId w:val="4"/>
  </w:num>
  <w:num w:numId="19" w16cid:durableId="400295818">
    <w:abstractNumId w:val="8"/>
  </w:num>
  <w:num w:numId="20" w16cid:durableId="482897144">
    <w:abstractNumId w:val="3"/>
  </w:num>
  <w:num w:numId="21" w16cid:durableId="1406294650">
    <w:abstractNumId w:val="2"/>
  </w:num>
  <w:num w:numId="22" w16cid:durableId="29454221">
    <w:abstractNumId w:val="1"/>
  </w:num>
  <w:num w:numId="23" w16cid:durableId="2039772528">
    <w:abstractNumId w:val="0"/>
  </w:num>
  <w:num w:numId="24" w16cid:durableId="575939058">
    <w:abstractNumId w:val="12"/>
  </w:num>
  <w:num w:numId="25" w16cid:durableId="1222516173">
    <w:abstractNumId w:val="12"/>
  </w:num>
  <w:num w:numId="26" w16cid:durableId="599991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574637">
    <w:abstractNumId w:val="12"/>
  </w:num>
  <w:num w:numId="28" w16cid:durableId="1536502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8635546">
    <w:abstractNumId w:val="12"/>
  </w:num>
  <w:num w:numId="30" w16cid:durableId="179205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044255">
    <w:abstractNumId w:val="12"/>
  </w:num>
  <w:num w:numId="32" w16cid:durableId="1644503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attachedTemplate r:id="rId1"/>
  <w:stylePaneSortMethod w:val="0000"/>
  <w:documentProtection w:edit="comments" w:enforcement="0"/>
  <w:defaultTabStop w:val="720"/>
  <w:evenAndOddHeaders/>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907F8"/>
    <w:rsid w:val="00000051"/>
    <w:rsid w:val="000002E1"/>
    <w:rsid w:val="000004EA"/>
    <w:rsid w:val="00000948"/>
    <w:rsid w:val="00000CDB"/>
    <w:rsid w:val="00000D88"/>
    <w:rsid w:val="00000DB6"/>
    <w:rsid w:val="0000134B"/>
    <w:rsid w:val="00001683"/>
    <w:rsid w:val="00001E64"/>
    <w:rsid w:val="0000214D"/>
    <w:rsid w:val="000026E5"/>
    <w:rsid w:val="00002852"/>
    <w:rsid w:val="00002868"/>
    <w:rsid w:val="00002E8D"/>
    <w:rsid w:val="00002F2E"/>
    <w:rsid w:val="00003085"/>
    <w:rsid w:val="000033F8"/>
    <w:rsid w:val="000036E6"/>
    <w:rsid w:val="00003800"/>
    <w:rsid w:val="00003819"/>
    <w:rsid w:val="00003E22"/>
    <w:rsid w:val="000040A5"/>
    <w:rsid w:val="000040A8"/>
    <w:rsid w:val="000040C3"/>
    <w:rsid w:val="000044FD"/>
    <w:rsid w:val="00004849"/>
    <w:rsid w:val="00004867"/>
    <w:rsid w:val="00004BFF"/>
    <w:rsid w:val="00004E03"/>
    <w:rsid w:val="00005033"/>
    <w:rsid w:val="0000508A"/>
    <w:rsid w:val="000051E1"/>
    <w:rsid w:val="0000525F"/>
    <w:rsid w:val="000057D2"/>
    <w:rsid w:val="00005957"/>
    <w:rsid w:val="00005AC4"/>
    <w:rsid w:val="00005C2B"/>
    <w:rsid w:val="00006102"/>
    <w:rsid w:val="0000645B"/>
    <w:rsid w:val="000064D4"/>
    <w:rsid w:val="0000664A"/>
    <w:rsid w:val="00006902"/>
    <w:rsid w:val="00006C79"/>
    <w:rsid w:val="00006CE6"/>
    <w:rsid w:val="000073BE"/>
    <w:rsid w:val="0000769B"/>
    <w:rsid w:val="000076C0"/>
    <w:rsid w:val="00007858"/>
    <w:rsid w:val="00007B4C"/>
    <w:rsid w:val="0001009A"/>
    <w:rsid w:val="000100D9"/>
    <w:rsid w:val="0001011C"/>
    <w:rsid w:val="00010421"/>
    <w:rsid w:val="0001088E"/>
    <w:rsid w:val="00010CE7"/>
    <w:rsid w:val="00010D02"/>
    <w:rsid w:val="000111AD"/>
    <w:rsid w:val="00011627"/>
    <w:rsid w:val="00011675"/>
    <w:rsid w:val="000116FF"/>
    <w:rsid w:val="00011728"/>
    <w:rsid w:val="000117AF"/>
    <w:rsid w:val="0001189D"/>
    <w:rsid w:val="00011949"/>
    <w:rsid w:val="00011DBB"/>
    <w:rsid w:val="00011E0A"/>
    <w:rsid w:val="00011EB6"/>
    <w:rsid w:val="00012076"/>
    <w:rsid w:val="000120D1"/>
    <w:rsid w:val="000120EA"/>
    <w:rsid w:val="00012235"/>
    <w:rsid w:val="000125E8"/>
    <w:rsid w:val="0001267E"/>
    <w:rsid w:val="0001296F"/>
    <w:rsid w:val="000129D4"/>
    <w:rsid w:val="00012B84"/>
    <w:rsid w:val="00012E4C"/>
    <w:rsid w:val="00012EED"/>
    <w:rsid w:val="00012F9D"/>
    <w:rsid w:val="0001325E"/>
    <w:rsid w:val="00013332"/>
    <w:rsid w:val="000139D0"/>
    <w:rsid w:val="00013A36"/>
    <w:rsid w:val="00013A38"/>
    <w:rsid w:val="00013EA8"/>
    <w:rsid w:val="000140E7"/>
    <w:rsid w:val="000144A3"/>
    <w:rsid w:val="00014822"/>
    <w:rsid w:val="0001486C"/>
    <w:rsid w:val="0001507D"/>
    <w:rsid w:val="0001510E"/>
    <w:rsid w:val="0001553E"/>
    <w:rsid w:val="00015D64"/>
    <w:rsid w:val="00016033"/>
    <w:rsid w:val="000161CA"/>
    <w:rsid w:val="000162A1"/>
    <w:rsid w:val="000163F7"/>
    <w:rsid w:val="0001660D"/>
    <w:rsid w:val="00016824"/>
    <w:rsid w:val="000169DB"/>
    <w:rsid w:val="00016CF8"/>
    <w:rsid w:val="0001728E"/>
    <w:rsid w:val="000173D3"/>
    <w:rsid w:val="0001744F"/>
    <w:rsid w:val="000178FF"/>
    <w:rsid w:val="00017AA0"/>
    <w:rsid w:val="00017AE1"/>
    <w:rsid w:val="00017BBA"/>
    <w:rsid w:val="00017BFF"/>
    <w:rsid w:val="00017FC6"/>
    <w:rsid w:val="000205B9"/>
    <w:rsid w:val="00020734"/>
    <w:rsid w:val="00020AED"/>
    <w:rsid w:val="00020E2D"/>
    <w:rsid w:val="0002109F"/>
    <w:rsid w:val="000216CB"/>
    <w:rsid w:val="00021F24"/>
    <w:rsid w:val="0002216F"/>
    <w:rsid w:val="00022722"/>
    <w:rsid w:val="00022E00"/>
    <w:rsid w:val="00022FB7"/>
    <w:rsid w:val="000234EB"/>
    <w:rsid w:val="000235FF"/>
    <w:rsid w:val="00023B43"/>
    <w:rsid w:val="00023E63"/>
    <w:rsid w:val="00023F93"/>
    <w:rsid w:val="000243A7"/>
    <w:rsid w:val="00024529"/>
    <w:rsid w:val="0002456C"/>
    <w:rsid w:val="000249AF"/>
    <w:rsid w:val="00024AEA"/>
    <w:rsid w:val="00024B8A"/>
    <w:rsid w:val="00024BA4"/>
    <w:rsid w:val="00024DA0"/>
    <w:rsid w:val="00024ED1"/>
    <w:rsid w:val="00024F8C"/>
    <w:rsid w:val="00024FD7"/>
    <w:rsid w:val="000250F8"/>
    <w:rsid w:val="00025189"/>
    <w:rsid w:val="00025291"/>
    <w:rsid w:val="0002570A"/>
    <w:rsid w:val="00025774"/>
    <w:rsid w:val="000257F3"/>
    <w:rsid w:val="00025808"/>
    <w:rsid w:val="00025AA5"/>
    <w:rsid w:val="0002607E"/>
    <w:rsid w:val="00026093"/>
    <w:rsid w:val="00026364"/>
    <w:rsid w:val="00026647"/>
    <w:rsid w:val="00026809"/>
    <w:rsid w:val="00026894"/>
    <w:rsid w:val="00026907"/>
    <w:rsid w:val="0002690F"/>
    <w:rsid w:val="00026DA1"/>
    <w:rsid w:val="00027223"/>
    <w:rsid w:val="000278CD"/>
    <w:rsid w:val="00027D76"/>
    <w:rsid w:val="00030C0B"/>
    <w:rsid w:val="00030DBE"/>
    <w:rsid w:val="00031035"/>
    <w:rsid w:val="000315D3"/>
    <w:rsid w:val="0003168F"/>
    <w:rsid w:val="00031817"/>
    <w:rsid w:val="00031AE1"/>
    <w:rsid w:val="00032A68"/>
    <w:rsid w:val="00032C5A"/>
    <w:rsid w:val="00032D0A"/>
    <w:rsid w:val="00033070"/>
    <w:rsid w:val="00033175"/>
    <w:rsid w:val="00033387"/>
    <w:rsid w:val="00033419"/>
    <w:rsid w:val="00033456"/>
    <w:rsid w:val="000335D6"/>
    <w:rsid w:val="00033691"/>
    <w:rsid w:val="0003398C"/>
    <w:rsid w:val="00033A09"/>
    <w:rsid w:val="00033ECD"/>
    <w:rsid w:val="00033FB4"/>
    <w:rsid w:val="00033FD5"/>
    <w:rsid w:val="0003422F"/>
    <w:rsid w:val="000346F0"/>
    <w:rsid w:val="00034A17"/>
    <w:rsid w:val="00034D4E"/>
    <w:rsid w:val="00035076"/>
    <w:rsid w:val="00035192"/>
    <w:rsid w:val="00035287"/>
    <w:rsid w:val="00035AED"/>
    <w:rsid w:val="00035B11"/>
    <w:rsid w:val="00035B44"/>
    <w:rsid w:val="00035C9B"/>
    <w:rsid w:val="00035D8D"/>
    <w:rsid w:val="00035EDA"/>
    <w:rsid w:val="0003605D"/>
    <w:rsid w:val="0003618B"/>
    <w:rsid w:val="00036388"/>
    <w:rsid w:val="00036A95"/>
    <w:rsid w:val="000370C2"/>
    <w:rsid w:val="00037146"/>
    <w:rsid w:val="000371B3"/>
    <w:rsid w:val="0003732F"/>
    <w:rsid w:val="000376CA"/>
    <w:rsid w:val="00037768"/>
    <w:rsid w:val="00037CBA"/>
    <w:rsid w:val="00037EC5"/>
    <w:rsid w:val="0004044D"/>
    <w:rsid w:val="00040945"/>
    <w:rsid w:val="00040A92"/>
    <w:rsid w:val="00040B2D"/>
    <w:rsid w:val="00040F97"/>
    <w:rsid w:val="00041275"/>
    <w:rsid w:val="000412C1"/>
    <w:rsid w:val="00041562"/>
    <w:rsid w:val="00041ADC"/>
    <w:rsid w:val="0004284E"/>
    <w:rsid w:val="000428FF"/>
    <w:rsid w:val="00042CFC"/>
    <w:rsid w:val="000432A6"/>
    <w:rsid w:val="00043585"/>
    <w:rsid w:val="000438D8"/>
    <w:rsid w:val="00043C6C"/>
    <w:rsid w:val="00043E32"/>
    <w:rsid w:val="00043E73"/>
    <w:rsid w:val="0004436D"/>
    <w:rsid w:val="00044A31"/>
    <w:rsid w:val="00044A4D"/>
    <w:rsid w:val="00044A93"/>
    <w:rsid w:val="00044B68"/>
    <w:rsid w:val="00044DFB"/>
    <w:rsid w:val="00045566"/>
    <w:rsid w:val="0004564D"/>
    <w:rsid w:val="000457C4"/>
    <w:rsid w:val="00045AD7"/>
    <w:rsid w:val="00045D4D"/>
    <w:rsid w:val="00045F8E"/>
    <w:rsid w:val="000463DC"/>
    <w:rsid w:val="00046AA2"/>
    <w:rsid w:val="000473D1"/>
    <w:rsid w:val="000479B7"/>
    <w:rsid w:val="00047A91"/>
    <w:rsid w:val="00047AAB"/>
    <w:rsid w:val="00047E2D"/>
    <w:rsid w:val="00050650"/>
    <w:rsid w:val="000509FD"/>
    <w:rsid w:val="00050C09"/>
    <w:rsid w:val="00051218"/>
    <w:rsid w:val="00051336"/>
    <w:rsid w:val="00051387"/>
    <w:rsid w:val="000513D8"/>
    <w:rsid w:val="0005146F"/>
    <w:rsid w:val="000515FE"/>
    <w:rsid w:val="00051760"/>
    <w:rsid w:val="00051827"/>
    <w:rsid w:val="00051C69"/>
    <w:rsid w:val="00051EAF"/>
    <w:rsid w:val="0005204D"/>
    <w:rsid w:val="0005234C"/>
    <w:rsid w:val="000527AD"/>
    <w:rsid w:val="00052995"/>
    <w:rsid w:val="000529D0"/>
    <w:rsid w:val="00052A7C"/>
    <w:rsid w:val="00052F59"/>
    <w:rsid w:val="000534DB"/>
    <w:rsid w:val="00053A4A"/>
    <w:rsid w:val="00053E23"/>
    <w:rsid w:val="000546EB"/>
    <w:rsid w:val="0005477B"/>
    <w:rsid w:val="00054789"/>
    <w:rsid w:val="00054AA6"/>
    <w:rsid w:val="00054F92"/>
    <w:rsid w:val="000551A9"/>
    <w:rsid w:val="00055250"/>
    <w:rsid w:val="000554B9"/>
    <w:rsid w:val="00055656"/>
    <w:rsid w:val="00055673"/>
    <w:rsid w:val="000556B5"/>
    <w:rsid w:val="00055910"/>
    <w:rsid w:val="000559AE"/>
    <w:rsid w:val="00055CB1"/>
    <w:rsid w:val="000566AF"/>
    <w:rsid w:val="00056AD6"/>
    <w:rsid w:val="00056E74"/>
    <w:rsid w:val="0005766E"/>
    <w:rsid w:val="00057B8A"/>
    <w:rsid w:val="00057D2A"/>
    <w:rsid w:val="00057D9D"/>
    <w:rsid w:val="00057DA6"/>
    <w:rsid w:val="00057FDE"/>
    <w:rsid w:val="000602E1"/>
    <w:rsid w:val="000604EB"/>
    <w:rsid w:val="0006050B"/>
    <w:rsid w:val="000609FE"/>
    <w:rsid w:val="00060ABA"/>
    <w:rsid w:val="00060C25"/>
    <w:rsid w:val="00060DC2"/>
    <w:rsid w:val="000618E2"/>
    <w:rsid w:val="00061EA0"/>
    <w:rsid w:val="000620E9"/>
    <w:rsid w:val="000621C6"/>
    <w:rsid w:val="000622A9"/>
    <w:rsid w:val="000622DA"/>
    <w:rsid w:val="00062474"/>
    <w:rsid w:val="00062632"/>
    <w:rsid w:val="00062677"/>
    <w:rsid w:val="00062851"/>
    <w:rsid w:val="000628F5"/>
    <w:rsid w:val="00062902"/>
    <w:rsid w:val="00062A6B"/>
    <w:rsid w:val="00062AF7"/>
    <w:rsid w:val="00062BE6"/>
    <w:rsid w:val="00062C39"/>
    <w:rsid w:val="00062DD4"/>
    <w:rsid w:val="0006305C"/>
    <w:rsid w:val="0006327A"/>
    <w:rsid w:val="00063323"/>
    <w:rsid w:val="000635BE"/>
    <w:rsid w:val="00063C78"/>
    <w:rsid w:val="00063D2B"/>
    <w:rsid w:val="00063E08"/>
    <w:rsid w:val="00064307"/>
    <w:rsid w:val="00064398"/>
    <w:rsid w:val="000643BB"/>
    <w:rsid w:val="00064807"/>
    <w:rsid w:val="00064817"/>
    <w:rsid w:val="00064AA7"/>
    <w:rsid w:val="00064E21"/>
    <w:rsid w:val="00064F47"/>
    <w:rsid w:val="000656AE"/>
    <w:rsid w:val="0006577D"/>
    <w:rsid w:val="000658DF"/>
    <w:rsid w:val="00065E55"/>
    <w:rsid w:val="00065ED8"/>
    <w:rsid w:val="000660CC"/>
    <w:rsid w:val="0006615E"/>
    <w:rsid w:val="000661AE"/>
    <w:rsid w:val="0006644A"/>
    <w:rsid w:val="00066E1E"/>
    <w:rsid w:val="00067A08"/>
    <w:rsid w:val="00067AF1"/>
    <w:rsid w:val="00070031"/>
    <w:rsid w:val="00070074"/>
    <w:rsid w:val="00070249"/>
    <w:rsid w:val="0007076A"/>
    <w:rsid w:val="00070D09"/>
    <w:rsid w:val="00070E4D"/>
    <w:rsid w:val="000711AC"/>
    <w:rsid w:val="000712CF"/>
    <w:rsid w:val="000713BB"/>
    <w:rsid w:val="00071D4F"/>
    <w:rsid w:val="00071E4C"/>
    <w:rsid w:val="00071F01"/>
    <w:rsid w:val="000721E8"/>
    <w:rsid w:val="000728B0"/>
    <w:rsid w:val="00073156"/>
    <w:rsid w:val="000731D0"/>
    <w:rsid w:val="0007328E"/>
    <w:rsid w:val="00073330"/>
    <w:rsid w:val="0007387C"/>
    <w:rsid w:val="00073A85"/>
    <w:rsid w:val="00073B1A"/>
    <w:rsid w:val="00073B7F"/>
    <w:rsid w:val="00073D38"/>
    <w:rsid w:val="00073E59"/>
    <w:rsid w:val="00074146"/>
    <w:rsid w:val="00074408"/>
    <w:rsid w:val="000745E5"/>
    <w:rsid w:val="00074713"/>
    <w:rsid w:val="0007492C"/>
    <w:rsid w:val="00074D7A"/>
    <w:rsid w:val="00074DA5"/>
    <w:rsid w:val="00074E33"/>
    <w:rsid w:val="0007545C"/>
    <w:rsid w:val="00075673"/>
    <w:rsid w:val="00075994"/>
    <w:rsid w:val="00075AB5"/>
    <w:rsid w:val="00076306"/>
    <w:rsid w:val="000768A8"/>
    <w:rsid w:val="000772AB"/>
    <w:rsid w:val="00077627"/>
    <w:rsid w:val="000777B4"/>
    <w:rsid w:val="00077BB1"/>
    <w:rsid w:val="00077E9F"/>
    <w:rsid w:val="00080476"/>
    <w:rsid w:val="000805E6"/>
    <w:rsid w:val="0008070E"/>
    <w:rsid w:val="000809E1"/>
    <w:rsid w:val="00080C58"/>
    <w:rsid w:val="00080E8B"/>
    <w:rsid w:val="00081193"/>
    <w:rsid w:val="00081357"/>
    <w:rsid w:val="000819CC"/>
    <w:rsid w:val="00081C15"/>
    <w:rsid w:val="00082695"/>
    <w:rsid w:val="0008270F"/>
    <w:rsid w:val="000828A0"/>
    <w:rsid w:val="000828E5"/>
    <w:rsid w:val="00082A4F"/>
    <w:rsid w:val="00082BC4"/>
    <w:rsid w:val="000834C5"/>
    <w:rsid w:val="0008399A"/>
    <w:rsid w:val="00083AF2"/>
    <w:rsid w:val="000842C9"/>
    <w:rsid w:val="0008452C"/>
    <w:rsid w:val="00084583"/>
    <w:rsid w:val="000845CF"/>
    <w:rsid w:val="00084AC0"/>
    <w:rsid w:val="00084CAB"/>
    <w:rsid w:val="000852EF"/>
    <w:rsid w:val="000853D9"/>
    <w:rsid w:val="000857CA"/>
    <w:rsid w:val="0008597F"/>
    <w:rsid w:val="00085B37"/>
    <w:rsid w:val="00085D26"/>
    <w:rsid w:val="00086220"/>
    <w:rsid w:val="00086894"/>
    <w:rsid w:val="00086A27"/>
    <w:rsid w:val="00086CE3"/>
    <w:rsid w:val="00086DCA"/>
    <w:rsid w:val="000870AB"/>
    <w:rsid w:val="0008721A"/>
    <w:rsid w:val="00087385"/>
    <w:rsid w:val="000875B2"/>
    <w:rsid w:val="00087755"/>
    <w:rsid w:val="000877C5"/>
    <w:rsid w:val="00087845"/>
    <w:rsid w:val="00087870"/>
    <w:rsid w:val="000900BA"/>
    <w:rsid w:val="00090161"/>
    <w:rsid w:val="00090568"/>
    <w:rsid w:val="0009100E"/>
    <w:rsid w:val="0009138F"/>
    <w:rsid w:val="000914C0"/>
    <w:rsid w:val="0009155B"/>
    <w:rsid w:val="00091960"/>
    <w:rsid w:val="00091C08"/>
    <w:rsid w:val="00092018"/>
    <w:rsid w:val="00092395"/>
    <w:rsid w:val="00092B3D"/>
    <w:rsid w:val="00094057"/>
    <w:rsid w:val="00094910"/>
    <w:rsid w:val="00094F66"/>
    <w:rsid w:val="000950C8"/>
    <w:rsid w:val="00095140"/>
    <w:rsid w:val="000957DA"/>
    <w:rsid w:val="00095B39"/>
    <w:rsid w:val="00095E16"/>
    <w:rsid w:val="00095FD9"/>
    <w:rsid w:val="00096364"/>
    <w:rsid w:val="0009666A"/>
    <w:rsid w:val="00096824"/>
    <w:rsid w:val="00096C31"/>
    <w:rsid w:val="00096F57"/>
    <w:rsid w:val="000974AE"/>
    <w:rsid w:val="00097709"/>
    <w:rsid w:val="00097859"/>
    <w:rsid w:val="0009788C"/>
    <w:rsid w:val="000978CB"/>
    <w:rsid w:val="00097AC3"/>
    <w:rsid w:val="00097C0D"/>
    <w:rsid w:val="00097F96"/>
    <w:rsid w:val="000A0463"/>
    <w:rsid w:val="000A06A5"/>
    <w:rsid w:val="000A0863"/>
    <w:rsid w:val="000A0CCE"/>
    <w:rsid w:val="000A0D69"/>
    <w:rsid w:val="000A0D92"/>
    <w:rsid w:val="000A0DA4"/>
    <w:rsid w:val="000A1032"/>
    <w:rsid w:val="000A18EC"/>
    <w:rsid w:val="000A2529"/>
    <w:rsid w:val="000A284D"/>
    <w:rsid w:val="000A287F"/>
    <w:rsid w:val="000A28DC"/>
    <w:rsid w:val="000A291E"/>
    <w:rsid w:val="000A2D58"/>
    <w:rsid w:val="000A3247"/>
    <w:rsid w:val="000A38D3"/>
    <w:rsid w:val="000A39CE"/>
    <w:rsid w:val="000A3A2A"/>
    <w:rsid w:val="000A3E4F"/>
    <w:rsid w:val="000A3F76"/>
    <w:rsid w:val="000A4623"/>
    <w:rsid w:val="000A480B"/>
    <w:rsid w:val="000A4B55"/>
    <w:rsid w:val="000A4E59"/>
    <w:rsid w:val="000A5913"/>
    <w:rsid w:val="000A5E7C"/>
    <w:rsid w:val="000A5ECF"/>
    <w:rsid w:val="000A60FB"/>
    <w:rsid w:val="000A6495"/>
    <w:rsid w:val="000A668F"/>
    <w:rsid w:val="000A66F1"/>
    <w:rsid w:val="000A6BB1"/>
    <w:rsid w:val="000A6D4A"/>
    <w:rsid w:val="000A7092"/>
    <w:rsid w:val="000A7147"/>
    <w:rsid w:val="000A74E5"/>
    <w:rsid w:val="000A764C"/>
    <w:rsid w:val="000A7687"/>
    <w:rsid w:val="000A79BC"/>
    <w:rsid w:val="000A7E33"/>
    <w:rsid w:val="000A7FC1"/>
    <w:rsid w:val="000B0668"/>
    <w:rsid w:val="000B094F"/>
    <w:rsid w:val="000B0A06"/>
    <w:rsid w:val="000B16DA"/>
    <w:rsid w:val="000B1D08"/>
    <w:rsid w:val="000B2078"/>
    <w:rsid w:val="000B2419"/>
    <w:rsid w:val="000B24DA"/>
    <w:rsid w:val="000B2524"/>
    <w:rsid w:val="000B2978"/>
    <w:rsid w:val="000B2F21"/>
    <w:rsid w:val="000B2F99"/>
    <w:rsid w:val="000B32DC"/>
    <w:rsid w:val="000B35EF"/>
    <w:rsid w:val="000B3786"/>
    <w:rsid w:val="000B38A8"/>
    <w:rsid w:val="000B38EA"/>
    <w:rsid w:val="000B3EE0"/>
    <w:rsid w:val="000B407C"/>
    <w:rsid w:val="000B41D0"/>
    <w:rsid w:val="000B44A2"/>
    <w:rsid w:val="000B450D"/>
    <w:rsid w:val="000B4573"/>
    <w:rsid w:val="000B46D0"/>
    <w:rsid w:val="000B49DA"/>
    <w:rsid w:val="000B4A65"/>
    <w:rsid w:val="000B4BC5"/>
    <w:rsid w:val="000B4BE2"/>
    <w:rsid w:val="000B4D63"/>
    <w:rsid w:val="000B5136"/>
    <w:rsid w:val="000B517F"/>
    <w:rsid w:val="000B53AA"/>
    <w:rsid w:val="000B5471"/>
    <w:rsid w:val="000B54E5"/>
    <w:rsid w:val="000B554A"/>
    <w:rsid w:val="000B5673"/>
    <w:rsid w:val="000B5686"/>
    <w:rsid w:val="000B56E0"/>
    <w:rsid w:val="000B5703"/>
    <w:rsid w:val="000B58E9"/>
    <w:rsid w:val="000B59D9"/>
    <w:rsid w:val="000B5BFF"/>
    <w:rsid w:val="000B5C62"/>
    <w:rsid w:val="000B5DDE"/>
    <w:rsid w:val="000B6249"/>
    <w:rsid w:val="000B63F2"/>
    <w:rsid w:val="000B646A"/>
    <w:rsid w:val="000B64B7"/>
    <w:rsid w:val="000B6EC0"/>
    <w:rsid w:val="000B6F63"/>
    <w:rsid w:val="000B703B"/>
    <w:rsid w:val="000B70D5"/>
    <w:rsid w:val="000B7231"/>
    <w:rsid w:val="000B7365"/>
    <w:rsid w:val="000B75FD"/>
    <w:rsid w:val="000B7640"/>
    <w:rsid w:val="000B7687"/>
    <w:rsid w:val="000B770B"/>
    <w:rsid w:val="000B7BB7"/>
    <w:rsid w:val="000B7BDC"/>
    <w:rsid w:val="000B7DF9"/>
    <w:rsid w:val="000B7E0C"/>
    <w:rsid w:val="000C010B"/>
    <w:rsid w:val="000C02F5"/>
    <w:rsid w:val="000C0380"/>
    <w:rsid w:val="000C05EA"/>
    <w:rsid w:val="000C0680"/>
    <w:rsid w:val="000C0CFC"/>
    <w:rsid w:val="000C0F9B"/>
    <w:rsid w:val="000C1871"/>
    <w:rsid w:val="000C1912"/>
    <w:rsid w:val="000C194C"/>
    <w:rsid w:val="000C34DD"/>
    <w:rsid w:val="000C35A5"/>
    <w:rsid w:val="000C35BF"/>
    <w:rsid w:val="000C36F4"/>
    <w:rsid w:val="000C3DA2"/>
    <w:rsid w:val="000C413E"/>
    <w:rsid w:val="000C4557"/>
    <w:rsid w:val="000C4770"/>
    <w:rsid w:val="000C48FE"/>
    <w:rsid w:val="000C494D"/>
    <w:rsid w:val="000C4D68"/>
    <w:rsid w:val="000C5502"/>
    <w:rsid w:val="000C5899"/>
    <w:rsid w:val="000C58CF"/>
    <w:rsid w:val="000C5A59"/>
    <w:rsid w:val="000C5C88"/>
    <w:rsid w:val="000C5D8B"/>
    <w:rsid w:val="000C62F0"/>
    <w:rsid w:val="000C69F2"/>
    <w:rsid w:val="000C6A16"/>
    <w:rsid w:val="000C6CA0"/>
    <w:rsid w:val="000C71F1"/>
    <w:rsid w:val="000C7886"/>
    <w:rsid w:val="000D03FA"/>
    <w:rsid w:val="000D0486"/>
    <w:rsid w:val="000D0589"/>
    <w:rsid w:val="000D09C7"/>
    <w:rsid w:val="000D0C6D"/>
    <w:rsid w:val="000D0C7D"/>
    <w:rsid w:val="000D0C99"/>
    <w:rsid w:val="000D0CD9"/>
    <w:rsid w:val="000D0F5D"/>
    <w:rsid w:val="000D0FC7"/>
    <w:rsid w:val="000D1305"/>
    <w:rsid w:val="000D156E"/>
    <w:rsid w:val="000D1915"/>
    <w:rsid w:val="000D1A4E"/>
    <w:rsid w:val="000D1E4D"/>
    <w:rsid w:val="000D2037"/>
    <w:rsid w:val="000D20B5"/>
    <w:rsid w:val="000D20D5"/>
    <w:rsid w:val="000D2353"/>
    <w:rsid w:val="000D2639"/>
    <w:rsid w:val="000D2A90"/>
    <w:rsid w:val="000D2BAF"/>
    <w:rsid w:val="000D2EFA"/>
    <w:rsid w:val="000D30CC"/>
    <w:rsid w:val="000D35A4"/>
    <w:rsid w:val="000D3683"/>
    <w:rsid w:val="000D372A"/>
    <w:rsid w:val="000D3CA9"/>
    <w:rsid w:val="000D403E"/>
    <w:rsid w:val="000D43EC"/>
    <w:rsid w:val="000D474F"/>
    <w:rsid w:val="000D4B9D"/>
    <w:rsid w:val="000D50A3"/>
    <w:rsid w:val="000D55C2"/>
    <w:rsid w:val="000D5B78"/>
    <w:rsid w:val="000D604C"/>
    <w:rsid w:val="000D6079"/>
    <w:rsid w:val="000D621C"/>
    <w:rsid w:val="000D6B32"/>
    <w:rsid w:val="000D6BB8"/>
    <w:rsid w:val="000D6CA6"/>
    <w:rsid w:val="000D6D57"/>
    <w:rsid w:val="000D735C"/>
    <w:rsid w:val="000D7492"/>
    <w:rsid w:val="000D7565"/>
    <w:rsid w:val="000D7693"/>
    <w:rsid w:val="000D778A"/>
    <w:rsid w:val="000D78F4"/>
    <w:rsid w:val="000D7999"/>
    <w:rsid w:val="000D7F17"/>
    <w:rsid w:val="000D7FAE"/>
    <w:rsid w:val="000E06B3"/>
    <w:rsid w:val="000E085F"/>
    <w:rsid w:val="000E0B65"/>
    <w:rsid w:val="000E0C5C"/>
    <w:rsid w:val="000E0C9F"/>
    <w:rsid w:val="000E0E16"/>
    <w:rsid w:val="000E0E27"/>
    <w:rsid w:val="000E105B"/>
    <w:rsid w:val="000E10C3"/>
    <w:rsid w:val="000E133F"/>
    <w:rsid w:val="000E149B"/>
    <w:rsid w:val="000E17B2"/>
    <w:rsid w:val="000E18BA"/>
    <w:rsid w:val="000E1D71"/>
    <w:rsid w:val="000E1D81"/>
    <w:rsid w:val="000E226D"/>
    <w:rsid w:val="000E2416"/>
    <w:rsid w:val="000E246C"/>
    <w:rsid w:val="000E24BF"/>
    <w:rsid w:val="000E2551"/>
    <w:rsid w:val="000E2CDE"/>
    <w:rsid w:val="000E3204"/>
    <w:rsid w:val="000E36C8"/>
    <w:rsid w:val="000E3A9D"/>
    <w:rsid w:val="000E3B66"/>
    <w:rsid w:val="000E3E3F"/>
    <w:rsid w:val="000E44CE"/>
    <w:rsid w:val="000E481C"/>
    <w:rsid w:val="000E4965"/>
    <w:rsid w:val="000E4CA2"/>
    <w:rsid w:val="000E4EA0"/>
    <w:rsid w:val="000E550B"/>
    <w:rsid w:val="000E6292"/>
    <w:rsid w:val="000E6806"/>
    <w:rsid w:val="000E689A"/>
    <w:rsid w:val="000E6EFF"/>
    <w:rsid w:val="000E70D0"/>
    <w:rsid w:val="000E75BE"/>
    <w:rsid w:val="000E7799"/>
    <w:rsid w:val="000E78A2"/>
    <w:rsid w:val="000E78E3"/>
    <w:rsid w:val="000E79A4"/>
    <w:rsid w:val="000E7A3E"/>
    <w:rsid w:val="000E7A4D"/>
    <w:rsid w:val="000E7B21"/>
    <w:rsid w:val="000E7D8B"/>
    <w:rsid w:val="000F00CB"/>
    <w:rsid w:val="000F01EE"/>
    <w:rsid w:val="000F03A4"/>
    <w:rsid w:val="000F0A26"/>
    <w:rsid w:val="000F0D0C"/>
    <w:rsid w:val="000F15BA"/>
    <w:rsid w:val="000F15DC"/>
    <w:rsid w:val="000F176D"/>
    <w:rsid w:val="000F1828"/>
    <w:rsid w:val="000F18C9"/>
    <w:rsid w:val="000F1A40"/>
    <w:rsid w:val="000F1A65"/>
    <w:rsid w:val="000F1C97"/>
    <w:rsid w:val="000F1F1C"/>
    <w:rsid w:val="000F2024"/>
    <w:rsid w:val="000F2770"/>
    <w:rsid w:val="000F2894"/>
    <w:rsid w:val="000F29D9"/>
    <w:rsid w:val="000F2AF9"/>
    <w:rsid w:val="000F2B02"/>
    <w:rsid w:val="000F2E60"/>
    <w:rsid w:val="000F30D0"/>
    <w:rsid w:val="000F30FC"/>
    <w:rsid w:val="000F32BC"/>
    <w:rsid w:val="000F3504"/>
    <w:rsid w:val="000F377B"/>
    <w:rsid w:val="000F3C74"/>
    <w:rsid w:val="000F4239"/>
    <w:rsid w:val="000F493A"/>
    <w:rsid w:val="000F49AD"/>
    <w:rsid w:val="000F4ACA"/>
    <w:rsid w:val="000F535F"/>
    <w:rsid w:val="000F57B1"/>
    <w:rsid w:val="000F634E"/>
    <w:rsid w:val="000F64B3"/>
    <w:rsid w:val="000F64BD"/>
    <w:rsid w:val="000F6702"/>
    <w:rsid w:val="000F6801"/>
    <w:rsid w:val="000F6D8B"/>
    <w:rsid w:val="000F6FCC"/>
    <w:rsid w:val="000F709C"/>
    <w:rsid w:val="000F7377"/>
    <w:rsid w:val="000F7575"/>
    <w:rsid w:val="000F758D"/>
    <w:rsid w:val="000F7673"/>
    <w:rsid w:val="000F76DD"/>
    <w:rsid w:val="000F775A"/>
    <w:rsid w:val="000F7B60"/>
    <w:rsid w:val="000F7E68"/>
    <w:rsid w:val="001009F7"/>
    <w:rsid w:val="00100AC4"/>
    <w:rsid w:val="00100D5D"/>
    <w:rsid w:val="00100E20"/>
    <w:rsid w:val="00100E87"/>
    <w:rsid w:val="00101670"/>
    <w:rsid w:val="00101F8A"/>
    <w:rsid w:val="00102345"/>
    <w:rsid w:val="00102384"/>
    <w:rsid w:val="001026CC"/>
    <w:rsid w:val="0010282E"/>
    <w:rsid w:val="00102F4C"/>
    <w:rsid w:val="00102FB2"/>
    <w:rsid w:val="00102FCE"/>
    <w:rsid w:val="0010348F"/>
    <w:rsid w:val="00103756"/>
    <w:rsid w:val="0010385B"/>
    <w:rsid w:val="0010385D"/>
    <w:rsid w:val="00103A66"/>
    <w:rsid w:val="00103F65"/>
    <w:rsid w:val="0010424F"/>
    <w:rsid w:val="00104447"/>
    <w:rsid w:val="00104ED5"/>
    <w:rsid w:val="0010500F"/>
    <w:rsid w:val="00105208"/>
    <w:rsid w:val="0010564D"/>
    <w:rsid w:val="00105680"/>
    <w:rsid w:val="001056E1"/>
    <w:rsid w:val="00105884"/>
    <w:rsid w:val="00105992"/>
    <w:rsid w:val="00105DCB"/>
    <w:rsid w:val="00105EDE"/>
    <w:rsid w:val="001062DC"/>
    <w:rsid w:val="00106365"/>
    <w:rsid w:val="001063FD"/>
    <w:rsid w:val="00106644"/>
    <w:rsid w:val="0010666C"/>
    <w:rsid w:val="00106767"/>
    <w:rsid w:val="00106C42"/>
    <w:rsid w:val="00107AC2"/>
    <w:rsid w:val="00107AC9"/>
    <w:rsid w:val="00107B8A"/>
    <w:rsid w:val="00107CF7"/>
    <w:rsid w:val="001105DC"/>
    <w:rsid w:val="00110D72"/>
    <w:rsid w:val="00110D73"/>
    <w:rsid w:val="00111206"/>
    <w:rsid w:val="0011175D"/>
    <w:rsid w:val="00111C9D"/>
    <w:rsid w:val="00111D0E"/>
    <w:rsid w:val="00111D68"/>
    <w:rsid w:val="0011212B"/>
    <w:rsid w:val="00112151"/>
    <w:rsid w:val="001126CB"/>
    <w:rsid w:val="0011318C"/>
    <w:rsid w:val="00113922"/>
    <w:rsid w:val="00113931"/>
    <w:rsid w:val="00113967"/>
    <w:rsid w:val="001139F9"/>
    <w:rsid w:val="00113DF2"/>
    <w:rsid w:val="00113E61"/>
    <w:rsid w:val="00113F2E"/>
    <w:rsid w:val="00114279"/>
    <w:rsid w:val="001143FB"/>
    <w:rsid w:val="00114580"/>
    <w:rsid w:val="001149E2"/>
    <w:rsid w:val="00114A8E"/>
    <w:rsid w:val="00114D66"/>
    <w:rsid w:val="00115243"/>
    <w:rsid w:val="0011560E"/>
    <w:rsid w:val="00115897"/>
    <w:rsid w:val="00115A34"/>
    <w:rsid w:val="00115C7B"/>
    <w:rsid w:val="00115C82"/>
    <w:rsid w:val="00115DEA"/>
    <w:rsid w:val="00115EA6"/>
    <w:rsid w:val="00115FEF"/>
    <w:rsid w:val="00116308"/>
    <w:rsid w:val="0011630F"/>
    <w:rsid w:val="00116522"/>
    <w:rsid w:val="0011664D"/>
    <w:rsid w:val="001168F6"/>
    <w:rsid w:val="00116A0E"/>
    <w:rsid w:val="00116E79"/>
    <w:rsid w:val="001171CD"/>
    <w:rsid w:val="001175BC"/>
    <w:rsid w:val="001177D9"/>
    <w:rsid w:val="0011782A"/>
    <w:rsid w:val="0011786F"/>
    <w:rsid w:val="00117C49"/>
    <w:rsid w:val="00117DFA"/>
    <w:rsid w:val="00120164"/>
    <w:rsid w:val="001202F4"/>
    <w:rsid w:val="00120302"/>
    <w:rsid w:val="001205C8"/>
    <w:rsid w:val="001207E5"/>
    <w:rsid w:val="001209F2"/>
    <w:rsid w:val="00120B46"/>
    <w:rsid w:val="00121236"/>
    <w:rsid w:val="001220BB"/>
    <w:rsid w:val="00122210"/>
    <w:rsid w:val="00122215"/>
    <w:rsid w:val="001229FD"/>
    <w:rsid w:val="00122A13"/>
    <w:rsid w:val="00122E22"/>
    <w:rsid w:val="00122FE2"/>
    <w:rsid w:val="00122FE4"/>
    <w:rsid w:val="00123001"/>
    <w:rsid w:val="001232B2"/>
    <w:rsid w:val="001237F6"/>
    <w:rsid w:val="0012384C"/>
    <w:rsid w:val="001244D4"/>
    <w:rsid w:val="00124676"/>
    <w:rsid w:val="0012478D"/>
    <w:rsid w:val="001249A7"/>
    <w:rsid w:val="00124A53"/>
    <w:rsid w:val="00124A6D"/>
    <w:rsid w:val="00125208"/>
    <w:rsid w:val="001254DC"/>
    <w:rsid w:val="0012595F"/>
    <w:rsid w:val="00125A49"/>
    <w:rsid w:val="00125DF4"/>
    <w:rsid w:val="0012653A"/>
    <w:rsid w:val="00126673"/>
    <w:rsid w:val="0012679D"/>
    <w:rsid w:val="00126AEA"/>
    <w:rsid w:val="00126CAF"/>
    <w:rsid w:val="00126F75"/>
    <w:rsid w:val="00127285"/>
    <w:rsid w:val="00127924"/>
    <w:rsid w:val="001302F2"/>
    <w:rsid w:val="0013034C"/>
    <w:rsid w:val="001306B1"/>
    <w:rsid w:val="00130760"/>
    <w:rsid w:val="00130788"/>
    <w:rsid w:val="001308C9"/>
    <w:rsid w:val="001309CC"/>
    <w:rsid w:val="00130A00"/>
    <w:rsid w:val="00130A73"/>
    <w:rsid w:val="00130CB4"/>
    <w:rsid w:val="00130D85"/>
    <w:rsid w:val="00130E57"/>
    <w:rsid w:val="00130EC4"/>
    <w:rsid w:val="0013101B"/>
    <w:rsid w:val="00131616"/>
    <w:rsid w:val="00131BE9"/>
    <w:rsid w:val="00131D03"/>
    <w:rsid w:val="00131FED"/>
    <w:rsid w:val="001322FC"/>
    <w:rsid w:val="00132E77"/>
    <w:rsid w:val="00132F1A"/>
    <w:rsid w:val="0013302A"/>
    <w:rsid w:val="0013338A"/>
    <w:rsid w:val="00133518"/>
    <w:rsid w:val="00133528"/>
    <w:rsid w:val="001335DB"/>
    <w:rsid w:val="0013374A"/>
    <w:rsid w:val="001337EA"/>
    <w:rsid w:val="001339B5"/>
    <w:rsid w:val="00134068"/>
    <w:rsid w:val="0013418C"/>
    <w:rsid w:val="00134812"/>
    <w:rsid w:val="00134871"/>
    <w:rsid w:val="0013490F"/>
    <w:rsid w:val="00134A5F"/>
    <w:rsid w:val="00134F68"/>
    <w:rsid w:val="00134FBE"/>
    <w:rsid w:val="001350F8"/>
    <w:rsid w:val="00135167"/>
    <w:rsid w:val="001351A0"/>
    <w:rsid w:val="0013523B"/>
    <w:rsid w:val="001352C3"/>
    <w:rsid w:val="0013599E"/>
    <w:rsid w:val="00135C64"/>
    <w:rsid w:val="00135E34"/>
    <w:rsid w:val="00135E86"/>
    <w:rsid w:val="0013600C"/>
    <w:rsid w:val="001360CF"/>
    <w:rsid w:val="0013685C"/>
    <w:rsid w:val="001368D9"/>
    <w:rsid w:val="00136954"/>
    <w:rsid w:val="0013697E"/>
    <w:rsid w:val="00136CCC"/>
    <w:rsid w:val="0013703B"/>
    <w:rsid w:val="0013792D"/>
    <w:rsid w:val="00137C86"/>
    <w:rsid w:val="00137E1F"/>
    <w:rsid w:val="00137F5F"/>
    <w:rsid w:val="0014032D"/>
    <w:rsid w:val="00140361"/>
    <w:rsid w:val="00140BB1"/>
    <w:rsid w:val="00140DEB"/>
    <w:rsid w:val="00140E59"/>
    <w:rsid w:val="00140ECD"/>
    <w:rsid w:val="0014192E"/>
    <w:rsid w:val="00141945"/>
    <w:rsid w:val="00141CA9"/>
    <w:rsid w:val="00141E12"/>
    <w:rsid w:val="00142141"/>
    <w:rsid w:val="001423D3"/>
    <w:rsid w:val="001426BC"/>
    <w:rsid w:val="001427B4"/>
    <w:rsid w:val="00142D6B"/>
    <w:rsid w:val="00142F2F"/>
    <w:rsid w:val="001433C4"/>
    <w:rsid w:val="0014375E"/>
    <w:rsid w:val="001437B1"/>
    <w:rsid w:val="00143E37"/>
    <w:rsid w:val="00143F6D"/>
    <w:rsid w:val="0014407D"/>
    <w:rsid w:val="001444F4"/>
    <w:rsid w:val="001445ED"/>
    <w:rsid w:val="001446F3"/>
    <w:rsid w:val="00144986"/>
    <w:rsid w:val="00144AD9"/>
    <w:rsid w:val="00144E20"/>
    <w:rsid w:val="001451E0"/>
    <w:rsid w:val="001452F6"/>
    <w:rsid w:val="00145720"/>
    <w:rsid w:val="00145D1B"/>
    <w:rsid w:val="00145D53"/>
    <w:rsid w:val="00145EF1"/>
    <w:rsid w:val="0014601A"/>
    <w:rsid w:val="00146029"/>
    <w:rsid w:val="00146200"/>
    <w:rsid w:val="001462FA"/>
    <w:rsid w:val="00146865"/>
    <w:rsid w:val="00146E04"/>
    <w:rsid w:val="00146FA5"/>
    <w:rsid w:val="001472CA"/>
    <w:rsid w:val="001472FB"/>
    <w:rsid w:val="001473C5"/>
    <w:rsid w:val="0014750C"/>
    <w:rsid w:val="00147CCE"/>
    <w:rsid w:val="00147DF7"/>
    <w:rsid w:val="00150482"/>
    <w:rsid w:val="001505B5"/>
    <w:rsid w:val="00150678"/>
    <w:rsid w:val="00150734"/>
    <w:rsid w:val="0015135B"/>
    <w:rsid w:val="00151688"/>
    <w:rsid w:val="001516B6"/>
    <w:rsid w:val="0015179A"/>
    <w:rsid w:val="0015189A"/>
    <w:rsid w:val="00151915"/>
    <w:rsid w:val="00151B32"/>
    <w:rsid w:val="00151D7E"/>
    <w:rsid w:val="00151F3C"/>
    <w:rsid w:val="00152274"/>
    <w:rsid w:val="0015251A"/>
    <w:rsid w:val="0015279C"/>
    <w:rsid w:val="00152C0E"/>
    <w:rsid w:val="00152D5A"/>
    <w:rsid w:val="00153382"/>
    <w:rsid w:val="001542E3"/>
    <w:rsid w:val="0015435D"/>
    <w:rsid w:val="00154555"/>
    <w:rsid w:val="001549E4"/>
    <w:rsid w:val="00154E9E"/>
    <w:rsid w:val="00154FF0"/>
    <w:rsid w:val="00155353"/>
    <w:rsid w:val="0015560B"/>
    <w:rsid w:val="0015561A"/>
    <w:rsid w:val="0015588E"/>
    <w:rsid w:val="00155974"/>
    <w:rsid w:val="0015599E"/>
    <w:rsid w:val="0015636F"/>
    <w:rsid w:val="001564F8"/>
    <w:rsid w:val="00156658"/>
    <w:rsid w:val="0015666D"/>
    <w:rsid w:val="0015666F"/>
    <w:rsid w:val="00156E0A"/>
    <w:rsid w:val="00157516"/>
    <w:rsid w:val="0015751A"/>
    <w:rsid w:val="001577FC"/>
    <w:rsid w:val="00157873"/>
    <w:rsid w:val="00157B42"/>
    <w:rsid w:val="00157B85"/>
    <w:rsid w:val="00160032"/>
    <w:rsid w:val="001600B1"/>
    <w:rsid w:val="0016041C"/>
    <w:rsid w:val="001605E1"/>
    <w:rsid w:val="001606BF"/>
    <w:rsid w:val="0016088C"/>
    <w:rsid w:val="00160928"/>
    <w:rsid w:val="001615B4"/>
    <w:rsid w:val="00161CC8"/>
    <w:rsid w:val="00161CF6"/>
    <w:rsid w:val="00161D81"/>
    <w:rsid w:val="001621A2"/>
    <w:rsid w:val="001621C5"/>
    <w:rsid w:val="0016226A"/>
    <w:rsid w:val="00162447"/>
    <w:rsid w:val="001625CB"/>
    <w:rsid w:val="001628BA"/>
    <w:rsid w:val="00162E82"/>
    <w:rsid w:val="00162F9B"/>
    <w:rsid w:val="00163143"/>
    <w:rsid w:val="00163198"/>
    <w:rsid w:val="001637D1"/>
    <w:rsid w:val="0016381F"/>
    <w:rsid w:val="0016395E"/>
    <w:rsid w:val="00163B18"/>
    <w:rsid w:val="00163DC9"/>
    <w:rsid w:val="00163FAF"/>
    <w:rsid w:val="00164256"/>
    <w:rsid w:val="0016427D"/>
    <w:rsid w:val="00164742"/>
    <w:rsid w:val="00164866"/>
    <w:rsid w:val="00164A94"/>
    <w:rsid w:val="00164B22"/>
    <w:rsid w:val="00164F4F"/>
    <w:rsid w:val="001650F7"/>
    <w:rsid w:val="00165222"/>
    <w:rsid w:val="00165646"/>
    <w:rsid w:val="00165AA6"/>
    <w:rsid w:val="00165BD2"/>
    <w:rsid w:val="00165F64"/>
    <w:rsid w:val="001661BA"/>
    <w:rsid w:val="00166C72"/>
    <w:rsid w:val="00166D78"/>
    <w:rsid w:val="0016713E"/>
    <w:rsid w:val="00167911"/>
    <w:rsid w:val="001679F9"/>
    <w:rsid w:val="00167DA4"/>
    <w:rsid w:val="00167DC3"/>
    <w:rsid w:val="00167DCF"/>
    <w:rsid w:val="00167FD8"/>
    <w:rsid w:val="00170352"/>
    <w:rsid w:val="0017064A"/>
    <w:rsid w:val="001707E1"/>
    <w:rsid w:val="00170D5A"/>
    <w:rsid w:val="00170DF6"/>
    <w:rsid w:val="00170F53"/>
    <w:rsid w:val="0017161E"/>
    <w:rsid w:val="00171BA3"/>
    <w:rsid w:val="00171D40"/>
    <w:rsid w:val="00171F23"/>
    <w:rsid w:val="001721BB"/>
    <w:rsid w:val="00172287"/>
    <w:rsid w:val="00172297"/>
    <w:rsid w:val="0017250E"/>
    <w:rsid w:val="00172865"/>
    <w:rsid w:val="00172CEC"/>
    <w:rsid w:val="00172CFE"/>
    <w:rsid w:val="00172E65"/>
    <w:rsid w:val="0017311F"/>
    <w:rsid w:val="0017354B"/>
    <w:rsid w:val="001740B5"/>
    <w:rsid w:val="0017433C"/>
    <w:rsid w:val="00174798"/>
    <w:rsid w:val="001747CE"/>
    <w:rsid w:val="0017484F"/>
    <w:rsid w:val="00174A33"/>
    <w:rsid w:val="00174B6F"/>
    <w:rsid w:val="00174B98"/>
    <w:rsid w:val="00174EE7"/>
    <w:rsid w:val="0017531D"/>
    <w:rsid w:val="00175419"/>
    <w:rsid w:val="001758E5"/>
    <w:rsid w:val="00175AF4"/>
    <w:rsid w:val="00175BF7"/>
    <w:rsid w:val="00175F99"/>
    <w:rsid w:val="001763D2"/>
    <w:rsid w:val="001765E9"/>
    <w:rsid w:val="0017664A"/>
    <w:rsid w:val="00176BE1"/>
    <w:rsid w:val="00176DF2"/>
    <w:rsid w:val="00176F1A"/>
    <w:rsid w:val="001770FA"/>
    <w:rsid w:val="001772F3"/>
    <w:rsid w:val="00177461"/>
    <w:rsid w:val="0017758D"/>
    <w:rsid w:val="001777D3"/>
    <w:rsid w:val="00177828"/>
    <w:rsid w:val="00177A4F"/>
    <w:rsid w:val="00177D7E"/>
    <w:rsid w:val="00177DF7"/>
    <w:rsid w:val="0018012F"/>
    <w:rsid w:val="001802EB"/>
    <w:rsid w:val="0018045A"/>
    <w:rsid w:val="0018077F"/>
    <w:rsid w:val="00180A31"/>
    <w:rsid w:val="00180B1B"/>
    <w:rsid w:val="00180B44"/>
    <w:rsid w:val="00180FDF"/>
    <w:rsid w:val="001810E3"/>
    <w:rsid w:val="0018131A"/>
    <w:rsid w:val="001814E0"/>
    <w:rsid w:val="001816CD"/>
    <w:rsid w:val="00181CB2"/>
    <w:rsid w:val="00181E6D"/>
    <w:rsid w:val="001823B4"/>
    <w:rsid w:val="0018248C"/>
    <w:rsid w:val="00182663"/>
    <w:rsid w:val="00182DDA"/>
    <w:rsid w:val="00182E25"/>
    <w:rsid w:val="00182F5E"/>
    <w:rsid w:val="00182F7C"/>
    <w:rsid w:val="00182FF9"/>
    <w:rsid w:val="00183438"/>
    <w:rsid w:val="001837BC"/>
    <w:rsid w:val="0018381C"/>
    <w:rsid w:val="00183928"/>
    <w:rsid w:val="00183EBC"/>
    <w:rsid w:val="00184093"/>
    <w:rsid w:val="0018415B"/>
    <w:rsid w:val="00184428"/>
    <w:rsid w:val="001847B2"/>
    <w:rsid w:val="001847B6"/>
    <w:rsid w:val="001849EF"/>
    <w:rsid w:val="00184E1B"/>
    <w:rsid w:val="0018506B"/>
    <w:rsid w:val="001851F0"/>
    <w:rsid w:val="001852C2"/>
    <w:rsid w:val="00185517"/>
    <w:rsid w:val="0018674C"/>
    <w:rsid w:val="00186941"/>
    <w:rsid w:val="00186952"/>
    <w:rsid w:val="00186AA2"/>
    <w:rsid w:val="00187102"/>
    <w:rsid w:val="001872A3"/>
    <w:rsid w:val="0018759F"/>
    <w:rsid w:val="001876B5"/>
    <w:rsid w:val="00187804"/>
    <w:rsid w:val="0018791B"/>
    <w:rsid w:val="001879A7"/>
    <w:rsid w:val="00187AAA"/>
    <w:rsid w:val="00187E4E"/>
    <w:rsid w:val="00187F2A"/>
    <w:rsid w:val="00187F84"/>
    <w:rsid w:val="0019026C"/>
    <w:rsid w:val="00190407"/>
    <w:rsid w:val="00190924"/>
    <w:rsid w:val="00190A53"/>
    <w:rsid w:val="00190D4A"/>
    <w:rsid w:val="0019115B"/>
    <w:rsid w:val="001913DF"/>
    <w:rsid w:val="0019152F"/>
    <w:rsid w:val="00191E6D"/>
    <w:rsid w:val="00191ED7"/>
    <w:rsid w:val="00191FFA"/>
    <w:rsid w:val="00192830"/>
    <w:rsid w:val="00192870"/>
    <w:rsid w:val="001928F8"/>
    <w:rsid w:val="0019290E"/>
    <w:rsid w:val="001929C3"/>
    <w:rsid w:val="00192F6F"/>
    <w:rsid w:val="0019314D"/>
    <w:rsid w:val="00193822"/>
    <w:rsid w:val="00193B2E"/>
    <w:rsid w:val="00193BDE"/>
    <w:rsid w:val="00194731"/>
    <w:rsid w:val="0019478A"/>
    <w:rsid w:val="001947B8"/>
    <w:rsid w:val="00194AF4"/>
    <w:rsid w:val="00194B01"/>
    <w:rsid w:val="00194C6E"/>
    <w:rsid w:val="00194EFE"/>
    <w:rsid w:val="00194F2B"/>
    <w:rsid w:val="001953A6"/>
    <w:rsid w:val="00195CC7"/>
    <w:rsid w:val="00195D91"/>
    <w:rsid w:val="00195ECD"/>
    <w:rsid w:val="0019605F"/>
    <w:rsid w:val="00196487"/>
    <w:rsid w:val="00196BDB"/>
    <w:rsid w:val="001970E6"/>
    <w:rsid w:val="00197136"/>
    <w:rsid w:val="001976C0"/>
    <w:rsid w:val="001977F1"/>
    <w:rsid w:val="00197C0E"/>
    <w:rsid w:val="00197F02"/>
    <w:rsid w:val="001A01CB"/>
    <w:rsid w:val="001A0E91"/>
    <w:rsid w:val="001A0FEF"/>
    <w:rsid w:val="001A141A"/>
    <w:rsid w:val="001A1CFE"/>
    <w:rsid w:val="001A2002"/>
    <w:rsid w:val="001A222A"/>
    <w:rsid w:val="001A2268"/>
    <w:rsid w:val="001A22FC"/>
    <w:rsid w:val="001A2431"/>
    <w:rsid w:val="001A2674"/>
    <w:rsid w:val="001A275C"/>
    <w:rsid w:val="001A2998"/>
    <w:rsid w:val="001A2B08"/>
    <w:rsid w:val="001A2FAB"/>
    <w:rsid w:val="001A3392"/>
    <w:rsid w:val="001A339C"/>
    <w:rsid w:val="001A33C9"/>
    <w:rsid w:val="001A4198"/>
    <w:rsid w:val="001A423B"/>
    <w:rsid w:val="001A46A3"/>
    <w:rsid w:val="001A475B"/>
    <w:rsid w:val="001A475C"/>
    <w:rsid w:val="001A4C04"/>
    <w:rsid w:val="001A4CA0"/>
    <w:rsid w:val="001A4CD8"/>
    <w:rsid w:val="001A50EB"/>
    <w:rsid w:val="001A5258"/>
    <w:rsid w:val="001A5858"/>
    <w:rsid w:val="001A59D8"/>
    <w:rsid w:val="001A5A92"/>
    <w:rsid w:val="001A5FCD"/>
    <w:rsid w:val="001A604E"/>
    <w:rsid w:val="001A611D"/>
    <w:rsid w:val="001A61B6"/>
    <w:rsid w:val="001A62F0"/>
    <w:rsid w:val="001A6393"/>
    <w:rsid w:val="001A63FE"/>
    <w:rsid w:val="001A6585"/>
    <w:rsid w:val="001A6AB6"/>
    <w:rsid w:val="001A6FE3"/>
    <w:rsid w:val="001A72C5"/>
    <w:rsid w:val="001A752F"/>
    <w:rsid w:val="001A7623"/>
    <w:rsid w:val="001A7712"/>
    <w:rsid w:val="001A77D7"/>
    <w:rsid w:val="001A792A"/>
    <w:rsid w:val="001A7A79"/>
    <w:rsid w:val="001B006A"/>
    <w:rsid w:val="001B027E"/>
    <w:rsid w:val="001B02B1"/>
    <w:rsid w:val="001B03AD"/>
    <w:rsid w:val="001B082F"/>
    <w:rsid w:val="001B0864"/>
    <w:rsid w:val="001B0A52"/>
    <w:rsid w:val="001B0B33"/>
    <w:rsid w:val="001B13E9"/>
    <w:rsid w:val="001B15AD"/>
    <w:rsid w:val="001B15BA"/>
    <w:rsid w:val="001B1629"/>
    <w:rsid w:val="001B19F7"/>
    <w:rsid w:val="001B1A20"/>
    <w:rsid w:val="001B1C76"/>
    <w:rsid w:val="001B1FA1"/>
    <w:rsid w:val="001B251E"/>
    <w:rsid w:val="001B257F"/>
    <w:rsid w:val="001B263D"/>
    <w:rsid w:val="001B27E9"/>
    <w:rsid w:val="001B285D"/>
    <w:rsid w:val="001B2B58"/>
    <w:rsid w:val="001B2EBF"/>
    <w:rsid w:val="001B300E"/>
    <w:rsid w:val="001B3159"/>
    <w:rsid w:val="001B3B27"/>
    <w:rsid w:val="001B3CCC"/>
    <w:rsid w:val="001B43B1"/>
    <w:rsid w:val="001B43F0"/>
    <w:rsid w:val="001B4503"/>
    <w:rsid w:val="001B452B"/>
    <w:rsid w:val="001B46DC"/>
    <w:rsid w:val="001B49E8"/>
    <w:rsid w:val="001B4EDF"/>
    <w:rsid w:val="001B54A3"/>
    <w:rsid w:val="001B55B3"/>
    <w:rsid w:val="001B5610"/>
    <w:rsid w:val="001B5629"/>
    <w:rsid w:val="001B57F2"/>
    <w:rsid w:val="001B5AC3"/>
    <w:rsid w:val="001B5CF5"/>
    <w:rsid w:val="001B63B3"/>
    <w:rsid w:val="001B642D"/>
    <w:rsid w:val="001B69D1"/>
    <w:rsid w:val="001B6E26"/>
    <w:rsid w:val="001B719F"/>
    <w:rsid w:val="001B7658"/>
    <w:rsid w:val="001B7720"/>
    <w:rsid w:val="001B77CF"/>
    <w:rsid w:val="001B78A7"/>
    <w:rsid w:val="001B79EB"/>
    <w:rsid w:val="001B7B7E"/>
    <w:rsid w:val="001B7BFA"/>
    <w:rsid w:val="001B7E98"/>
    <w:rsid w:val="001B7F87"/>
    <w:rsid w:val="001C0807"/>
    <w:rsid w:val="001C0A91"/>
    <w:rsid w:val="001C0B1C"/>
    <w:rsid w:val="001C0B23"/>
    <w:rsid w:val="001C0BB0"/>
    <w:rsid w:val="001C185B"/>
    <w:rsid w:val="001C1E10"/>
    <w:rsid w:val="001C1EF8"/>
    <w:rsid w:val="001C1F6B"/>
    <w:rsid w:val="001C1FFA"/>
    <w:rsid w:val="001C1FFE"/>
    <w:rsid w:val="001C20B1"/>
    <w:rsid w:val="001C2617"/>
    <w:rsid w:val="001C26E4"/>
    <w:rsid w:val="001C26F9"/>
    <w:rsid w:val="001C29BA"/>
    <w:rsid w:val="001C2A5C"/>
    <w:rsid w:val="001C2C63"/>
    <w:rsid w:val="001C2FE0"/>
    <w:rsid w:val="001C33D6"/>
    <w:rsid w:val="001C3482"/>
    <w:rsid w:val="001C35FC"/>
    <w:rsid w:val="001C3DA3"/>
    <w:rsid w:val="001C414E"/>
    <w:rsid w:val="001C41AC"/>
    <w:rsid w:val="001C4295"/>
    <w:rsid w:val="001C46E2"/>
    <w:rsid w:val="001C4A03"/>
    <w:rsid w:val="001C559E"/>
    <w:rsid w:val="001C572A"/>
    <w:rsid w:val="001C5792"/>
    <w:rsid w:val="001C5C33"/>
    <w:rsid w:val="001C5C5F"/>
    <w:rsid w:val="001C5D06"/>
    <w:rsid w:val="001C5E21"/>
    <w:rsid w:val="001C61C8"/>
    <w:rsid w:val="001C66B6"/>
    <w:rsid w:val="001C694D"/>
    <w:rsid w:val="001C6F51"/>
    <w:rsid w:val="001C7448"/>
    <w:rsid w:val="001C7C86"/>
    <w:rsid w:val="001C7E00"/>
    <w:rsid w:val="001C7E17"/>
    <w:rsid w:val="001D00E8"/>
    <w:rsid w:val="001D01B4"/>
    <w:rsid w:val="001D0745"/>
    <w:rsid w:val="001D0764"/>
    <w:rsid w:val="001D0849"/>
    <w:rsid w:val="001D0862"/>
    <w:rsid w:val="001D08BA"/>
    <w:rsid w:val="001D0916"/>
    <w:rsid w:val="001D0F69"/>
    <w:rsid w:val="001D102B"/>
    <w:rsid w:val="001D1346"/>
    <w:rsid w:val="001D149B"/>
    <w:rsid w:val="001D15C4"/>
    <w:rsid w:val="001D1B24"/>
    <w:rsid w:val="001D1EF6"/>
    <w:rsid w:val="001D31AE"/>
    <w:rsid w:val="001D33D6"/>
    <w:rsid w:val="001D366C"/>
    <w:rsid w:val="001D37FA"/>
    <w:rsid w:val="001D3A33"/>
    <w:rsid w:val="001D410F"/>
    <w:rsid w:val="001D417A"/>
    <w:rsid w:val="001D41D1"/>
    <w:rsid w:val="001D4354"/>
    <w:rsid w:val="001D4489"/>
    <w:rsid w:val="001D44E4"/>
    <w:rsid w:val="001D4623"/>
    <w:rsid w:val="001D4B1A"/>
    <w:rsid w:val="001D4E56"/>
    <w:rsid w:val="001D4E80"/>
    <w:rsid w:val="001D4F2C"/>
    <w:rsid w:val="001D51AD"/>
    <w:rsid w:val="001D561C"/>
    <w:rsid w:val="001D56D8"/>
    <w:rsid w:val="001D57D2"/>
    <w:rsid w:val="001D5D4D"/>
    <w:rsid w:val="001D606A"/>
    <w:rsid w:val="001D6146"/>
    <w:rsid w:val="001D62AF"/>
    <w:rsid w:val="001D6C0E"/>
    <w:rsid w:val="001D6D34"/>
    <w:rsid w:val="001D6F18"/>
    <w:rsid w:val="001D7451"/>
    <w:rsid w:val="001D7492"/>
    <w:rsid w:val="001D7C3F"/>
    <w:rsid w:val="001E0167"/>
    <w:rsid w:val="001E0445"/>
    <w:rsid w:val="001E0451"/>
    <w:rsid w:val="001E070A"/>
    <w:rsid w:val="001E0DFA"/>
    <w:rsid w:val="001E142E"/>
    <w:rsid w:val="001E1447"/>
    <w:rsid w:val="001E15C1"/>
    <w:rsid w:val="001E1877"/>
    <w:rsid w:val="001E1B51"/>
    <w:rsid w:val="001E1BA7"/>
    <w:rsid w:val="001E1CCE"/>
    <w:rsid w:val="001E1D2B"/>
    <w:rsid w:val="001E1D67"/>
    <w:rsid w:val="001E24CB"/>
    <w:rsid w:val="001E2616"/>
    <w:rsid w:val="001E261A"/>
    <w:rsid w:val="001E2643"/>
    <w:rsid w:val="001E265B"/>
    <w:rsid w:val="001E276F"/>
    <w:rsid w:val="001E27AB"/>
    <w:rsid w:val="001E27FD"/>
    <w:rsid w:val="001E289C"/>
    <w:rsid w:val="001E2B6F"/>
    <w:rsid w:val="001E2D67"/>
    <w:rsid w:val="001E2F10"/>
    <w:rsid w:val="001E3318"/>
    <w:rsid w:val="001E4233"/>
    <w:rsid w:val="001E44DC"/>
    <w:rsid w:val="001E4534"/>
    <w:rsid w:val="001E45A9"/>
    <w:rsid w:val="001E45FC"/>
    <w:rsid w:val="001E47E8"/>
    <w:rsid w:val="001E57E3"/>
    <w:rsid w:val="001E6401"/>
    <w:rsid w:val="001E6642"/>
    <w:rsid w:val="001E6944"/>
    <w:rsid w:val="001E6E98"/>
    <w:rsid w:val="001E6FD3"/>
    <w:rsid w:val="001E700C"/>
    <w:rsid w:val="001E7049"/>
    <w:rsid w:val="001E7131"/>
    <w:rsid w:val="001E783D"/>
    <w:rsid w:val="001E78AB"/>
    <w:rsid w:val="001E78AF"/>
    <w:rsid w:val="001E7BB6"/>
    <w:rsid w:val="001E7D4E"/>
    <w:rsid w:val="001F03A6"/>
    <w:rsid w:val="001F08E1"/>
    <w:rsid w:val="001F192F"/>
    <w:rsid w:val="001F1B06"/>
    <w:rsid w:val="001F2098"/>
    <w:rsid w:val="001F21A3"/>
    <w:rsid w:val="001F2282"/>
    <w:rsid w:val="001F25C3"/>
    <w:rsid w:val="001F26F8"/>
    <w:rsid w:val="001F287F"/>
    <w:rsid w:val="001F2D10"/>
    <w:rsid w:val="001F338C"/>
    <w:rsid w:val="001F370C"/>
    <w:rsid w:val="001F3D1C"/>
    <w:rsid w:val="001F4353"/>
    <w:rsid w:val="001F43C1"/>
    <w:rsid w:val="001F47F2"/>
    <w:rsid w:val="001F4BE6"/>
    <w:rsid w:val="001F4FF0"/>
    <w:rsid w:val="001F502D"/>
    <w:rsid w:val="001F50C8"/>
    <w:rsid w:val="001F5602"/>
    <w:rsid w:val="001F5675"/>
    <w:rsid w:val="001F56F6"/>
    <w:rsid w:val="001F5A5B"/>
    <w:rsid w:val="001F5AA3"/>
    <w:rsid w:val="001F5E1A"/>
    <w:rsid w:val="001F619F"/>
    <w:rsid w:val="001F635F"/>
    <w:rsid w:val="001F6366"/>
    <w:rsid w:val="001F68C9"/>
    <w:rsid w:val="001F695F"/>
    <w:rsid w:val="001F6CF2"/>
    <w:rsid w:val="001F71C8"/>
    <w:rsid w:val="001F7329"/>
    <w:rsid w:val="001F75B6"/>
    <w:rsid w:val="001F78CB"/>
    <w:rsid w:val="001F7F4B"/>
    <w:rsid w:val="001F7F9F"/>
    <w:rsid w:val="001F7FA9"/>
    <w:rsid w:val="002005DB"/>
    <w:rsid w:val="00200A8F"/>
    <w:rsid w:val="00200E57"/>
    <w:rsid w:val="00200E6D"/>
    <w:rsid w:val="002011A4"/>
    <w:rsid w:val="0020120B"/>
    <w:rsid w:val="0020162B"/>
    <w:rsid w:val="002019A6"/>
    <w:rsid w:val="00201A5C"/>
    <w:rsid w:val="00201AB4"/>
    <w:rsid w:val="00201B15"/>
    <w:rsid w:val="00201D22"/>
    <w:rsid w:val="00201E7F"/>
    <w:rsid w:val="0020200C"/>
    <w:rsid w:val="002021F0"/>
    <w:rsid w:val="002021F4"/>
    <w:rsid w:val="002022E3"/>
    <w:rsid w:val="002027FF"/>
    <w:rsid w:val="00202AD7"/>
    <w:rsid w:val="00202B95"/>
    <w:rsid w:val="0020334E"/>
    <w:rsid w:val="0020383F"/>
    <w:rsid w:val="00203BAD"/>
    <w:rsid w:val="00203CED"/>
    <w:rsid w:val="00204479"/>
    <w:rsid w:val="0020456E"/>
    <w:rsid w:val="002045D2"/>
    <w:rsid w:val="00204874"/>
    <w:rsid w:val="00204FC6"/>
    <w:rsid w:val="00204FDE"/>
    <w:rsid w:val="00204FFE"/>
    <w:rsid w:val="00205067"/>
    <w:rsid w:val="00205656"/>
    <w:rsid w:val="002056BA"/>
    <w:rsid w:val="0020582D"/>
    <w:rsid w:val="00205A66"/>
    <w:rsid w:val="00205E01"/>
    <w:rsid w:val="002060AC"/>
    <w:rsid w:val="0020625C"/>
    <w:rsid w:val="00206303"/>
    <w:rsid w:val="0020659B"/>
    <w:rsid w:val="00206791"/>
    <w:rsid w:val="00206A05"/>
    <w:rsid w:val="00206CF6"/>
    <w:rsid w:val="00206D83"/>
    <w:rsid w:val="00207426"/>
    <w:rsid w:val="00207701"/>
    <w:rsid w:val="002078C1"/>
    <w:rsid w:val="00207978"/>
    <w:rsid w:val="00207A99"/>
    <w:rsid w:val="00207E57"/>
    <w:rsid w:val="00210290"/>
    <w:rsid w:val="0021048F"/>
    <w:rsid w:val="002105BB"/>
    <w:rsid w:val="00210664"/>
    <w:rsid w:val="0021072A"/>
    <w:rsid w:val="00210AE6"/>
    <w:rsid w:val="00210D63"/>
    <w:rsid w:val="002110B9"/>
    <w:rsid w:val="002111BB"/>
    <w:rsid w:val="00211329"/>
    <w:rsid w:val="00211B5B"/>
    <w:rsid w:val="00211E2E"/>
    <w:rsid w:val="002121CC"/>
    <w:rsid w:val="00212293"/>
    <w:rsid w:val="00212308"/>
    <w:rsid w:val="0021235A"/>
    <w:rsid w:val="0021236D"/>
    <w:rsid w:val="00212452"/>
    <w:rsid w:val="002125ED"/>
    <w:rsid w:val="00212614"/>
    <w:rsid w:val="0021267A"/>
    <w:rsid w:val="0021292D"/>
    <w:rsid w:val="00213028"/>
    <w:rsid w:val="0021311C"/>
    <w:rsid w:val="0021313A"/>
    <w:rsid w:val="00213171"/>
    <w:rsid w:val="0021335E"/>
    <w:rsid w:val="00213A5A"/>
    <w:rsid w:val="00213A61"/>
    <w:rsid w:val="00213C8F"/>
    <w:rsid w:val="0021421F"/>
    <w:rsid w:val="00214B0B"/>
    <w:rsid w:val="00214E0D"/>
    <w:rsid w:val="00214F20"/>
    <w:rsid w:val="002150CA"/>
    <w:rsid w:val="00215787"/>
    <w:rsid w:val="0021591D"/>
    <w:rsid w:val="00215DBC"/>
    <w:rsid w:val="0021648F"/>
    <w:rsid w:val="0021652F"/>
    <w:rsid w:val="00216DA7"/>
    <w:rsid w:val="00216DA8"/>
    <w:rsid w:val="00217137"/>
    <w:rsid w:val="00217F0C"/>
    <w:rsid w:val="0022082F"/>
    <w:rsid w:val="00220C55"/>
    <w:rsid w:val="00220E9E"/>
    <w:rsid w:val="00220EE6"/>
    <w:rsid w:val="00221117"/>
    <w:rsid w:val="0022124A"/>
    <w:rsid w:val="00221391"/>
    <w:rsid w:val="00221431"/>
    <w:rsid w:val="00221C0C"/>
    <w:rsid w:val="00221E68"/>
    <w:rsid w:val="00222036"/>
    <w:rsid w:val="0022206D"/>
    <w:rsid w:val="0022257C"/>
    <w:rsid w:val="002225C4"/>
    <w:rsid w:val="0022267C"/>
    <w:rsid w:val="00222E49"/>
    <w:rsid w:val="00222F0A"/>
    <w:rsid w:val="00223053"/>
    <w:rsid w:val="00223252"/>
    <w:rsid w:val="0022327F"/>
    <w:rsid w:val="00223846"/>
    <w:rsid w:val="00223941"/>
    <w:rsid w:val="00223FBE"/>
    <w:rsid w:val="00223FC0"/>
    <w:rsid w:val="00223FF7"/>
    <w:rsid w:val="00224926"/>
    <w:rsid w:val="00224A6D"/>
    <w:rsid w:val="00224ADA"/>
    <w:rsid w:val="002250A6"/>
    <w:rsid w:val="0022531F"/>
    <w:rsid w:val="002258BB"/>
    <w:rsid w:val="00225A34"/>
    <w:rsid w:val="00225A50"/>
    <w:rsid w:val="00225A52"/>
    <w:rsid w:val="00225CAA"/>
    <w:rsid w:val="00225F7F"/>
    <w:rsid w:val="0022675F"/>
    <w:rsid w:val="00227182"/>
    <w:rsid w:val="002275B4"/>
    <w:rsid w:val="00227671"/>
    <w:rsid w:val="00227B2B"/>
    <w:rsid w:val="00227CE2"/>
    <w:rsid w:val="002303B4"/>
    <w:rsid w:val="002305EA"/>
    <w:rsid w:val="002308A3"/>
    <w:rsid w:val="0023091C"/>
    <w:rsid w:val="002309BF"/>
    <w:rsid w:val="00230A22"/>
    <w:rsid w:val="00230F01"/>
    <w:rsid w:val="002314B4"/>
    <w:rsid w:val="002319A8"/>
    <w:rsid w:val="00231D36"/>
    <w:rsid w:val="00231D40"/>
    <w:rsid w:val="0023259B"/>
    <w:rsid w:val="00232843"/>
    <w:rsid w:val="00232B68"/>
    <w:rsid w:val="00232D84"/>
    <w:rsid w:val="00232E90"/>
    <w:rsid w:val="00233508"/>
    <w:rsid w:val="002336C9"/>
    <w:rsid w:val="002345CF"/>
    <w:rsid w:val="002352D0"/>
    <w:rsid w:val="0023539C"/>
    <w:rsid w:val="0023551B"/>
    <w:rsid w:val="00235856"/>
    <w:rsid w:val="0023590D"/>
    <w:rsid w:val="00235978"/>
    <w:rsid w:val="00235981"/>
    <w:rsid w:val="0023615A"/>
    <w:rsid w:val="0023620B"/>
    <w:rsid w:val="00236253"/>
    <w:rsid w:val="002362B7"/>
    <w:rsid w:val="002364E5"/>
    <w:rsid w:val="00236844"/>
    <w:rsid w:val="00237142"/>
    <w:rsid w:val="00237891"/>
    <w:rsid w:val="00237A0F"/>
    <w:rsid w:val="00237B42"/>
    <w:rsid w:val="00237CE3"/>
    <w:rsid w:val="00237F04"/>
    <w:rsid w:val="00240177"/>
    <w:rsid w:val="00240344"/>
    <w:rsid w:val="00240C72"/>
    <w:rsid w:val="00240D4D"/>
    <w:rsid w:val="0024100B"/>
    <w:rsid w:val="00241287"/>
    <w:rsid w:val="002417BA"/>
    <w:rsid w:val="002417C4"/>
    <w:rsid w:val="00241805"/>
    <w:rsid w:val="00241FD5"/>
    <w:rsid w:val="00242462"/>
    <w:rsid w:val="00242479"/>
    <w:rsid w:val="0024272E"/>
    <w:rsid w:val="00242B6D"/>
    <w:rsid w:val="00242BE3"/>
    <w:rsid w:val="002432C8"/>
    <w:rsid w:val="0024337C"/>
    <w:rsid w:val="002435B3"/>
    <w:rsid w:val="002439A9"/>
    <w:rsid w:val="002440DB"/>
    <w:rsid w:val="002440E3"/>
    <w:rsid w:val="00244B62"/>
    <w:rsid w:val="00244DB5"/>
    <w:rsid w:val="00244DCC"/>
    <w:rsid w:val="0024521A"/>
    <w:rsid w:val="00245491"/>
    <w:rsid w:val="00245BBB"/>
    <w:rsid w:val="0024662A"/>
    <w:rsid w:val="002468A1"/>
    <w:rsid w:val="00246A96"/>
    <w:rsid w:val="00246E60"/>
    <w:rsid w:val="00246ED2"/>
    <w:rsid w:val="0024708C"/>
    <w:rsid w:val="00247109"/>
    <w:rsid w:val="00247262"/>
    <w:rsid w:val="00247302"/>
    <w:rsid w:val="00247801"/>
    <w:rsid w:val="00247C72"/>
    <w:rsid w:val="00247FD4"/>
    <w:rsid w:val="002500BF"/>
    <w:rsid w:val="00250208"/>
    <w:rsid w:val="002503AE"/>
    <w:rsid w:val="00250BEC"/>
    <w:rsid w:val="00250D33"/>
    <w:rsid w:val="00250EA3"/>
    <w:rsid w:val="00251232"/>
    <w:rsid w:val="00251382"/>
    <w:rsid w:val="002515CE"/>
    <w:rsid w:val="00251A66"/>
    <w:rsid w:val="00251AD4"/>
    <w:rsid w:val="00252212"/>
    <w:rsid w:val="00252282"/>
    <w:rsid w:val="00252345"/>
    <w:rsid w:val="0025255F"/>
    <w:rsid w:val="002527D5"/>
    <w:rsid w:val="00252B88"/>
    <w:rsid w:val="002531E2"/>
    <w:rsid w:val="002534E6"/>
    <w:rsid w:val="00253E53"/>
    <w:rsid w:val="00254363"/>
    <w:rsid w:val="0025471B"/>
    <w:rsid w:val="00254780"/>
    <w:rsid w:val="0025483B"/>
    <w:rsid w:val="002548AC"/>
    <w:rsid w:val="00254AE6"/>
    <w:rsid w:val="00254B12"/>
    <w:rsid w:val="00254FCE"/>
    <w:rsid w:val="00255279"/>
    <w:rsid w:val="002554BA"/>
    <w:rsid w:val="00255B54"/>
    <w:rsid w:val="00255E12"/>
    <w:rsid w:val="00256024"/>
    <w:rsid w:val="00256C85"/>
    <w:rsid w:val="0025717F"/>
    <w:rsid w:val="00257569"/>
    <w:rsid w:val="002576E7"/>
    <w:rsid w:val="00257751"/>
    <w:rsid w:val="002579A7"/>
    <w:rsid w:val="00257D49"/>
    <w:rsid w:val="00257DB3"/>
    <w:rsid w:val="00257E78"/>
    <w:rsid w:val="00260097"/>
    <w:rsid w:val="0026025B"/>
    <w:rsid w:val="00260385"/>
    <w:rsid w:val="002603F3"/>
    <w:rsid w:val="00260444"/>
    <w:rsid w:val="00260467"/>
    <w:rsid w:val="00260DA5"/>
    <w:rsid w:val="00261159"/>
    <w:rsid w:val="002611D1"/>
    <w:rsid w:val="002615C4"/>
    <w:rsid w:val="00261701"/>
    <w:rsid w:val="00261728"/>
    <w:rsid w:val="002619B5"/>
    <w:rsid w:val="00261D80"/>
    <w:rsid w:val="00261F09"/>
    <w:rsid w:val="00261FE9"/>
    <w:rsid w:val="00262026"/>
    <w:rsid w:val="00262310"/>
    <w:rsid w:val="002624FD"/>
    <w:rsid w:val="0026266C"/>
    <w:rsid w:val="00262BE4"/>
    <w:rsid w:val="00262BF0"/>
    <w:rsid w:val="00262C97"/>
    <w:rsid w:val="00262DEC"/>
    <w:rsid w:val="00262E12"/>
    <w:rsid w:val="00263159"/>
    <w:rsid w:val="00263415"/>
    <w:rsid w:val="00263569"/>
    <w:rsid w:val="002639C9"/>
    <w:rsid w:val="00263D77"/>
    <w:rsid w:val="00264617"/>
    <w:rsid w:val="0026462E"/>
    <w:rsid w:val="002649FF"/>
    <w:rsid w:val="00264F47"/>
    <w:rsid w:val="002652C2"/>
    <w:rsid w:val="00265609"/>
    <w:rsid w:val="002659B1"/>
    <w:rsid w:val="00265AFF"/>
    <w:rsid w:val="00265EF7"/>
    <w:rsid w:val="00265F6B"/>
    <w:rsid w:val="0026604B"/>
    <w:rsid w:val="00266144"/>
    <w:rsid w:val="00266653"/>
    <w:rsid w:val="00266805"/>
    <w:rsid w:val="0026709F"/>
    <w:rsid w:val="00267200"/>
    <w:rsid w:val="00267C29"/>
    <w:rsid w:val="00267C46"/>
    <w:rsid w:val="00270BA6"/>
    <w:rsid w:val="00270DF5"/>
    <w:rsid w:val="0027126D"/>
    <w:rsid w:val="00271330"/>
    <w:rsid w:val="00271570"/>
    <w:rsid w:val="00271A93"/>
    <w:rsid w:val="00271CB6"/>
    <w:rsid w:val="00271D64"/>
    <w:rsid w:val="00271FED"/>
    <w:rsid w:val="00272151"/>
    <w:rsid w:val="0027220C"/>
    <w:rsid w:val="00272289"/>
    <w:rsid w:val="00272422"/>
    <w:rsid w:val="002726B0"/>
    <w:rsid w:val="00272C9D"/>
    <w:rsid w:val="00272CAB"/>
    <w:rsid w:val="00272CB4"/>
    <w:rsid w:val="002738E2"/>
    <w:rsid w:val="002743E4"/>
    <w:rsid w:val="00274490"/>
    <w:rsid w:val="00274498"/>
    <w:rsid w:val="00274606"/>
    <w:rsid w:val="002747A1"/>
    <w:rsid w:val="002747AD"/>
    <w:rsid w:val="00274870"/>
    <w:rsid w:val="0027490C"/>
    <w:rsid w:val="00274B5C"/>
    <w:rsid w:val="00274D75"/>
    <w:rsid w:val="00274E81"/>
    <w:rsid w:val="0027572C"/>
    <w:rsid w:val="00275845"/>
    <w:rsid w:val="00275B4A"/>
    <w:rsid w:val="00275ED5"/>
    <w:rsid w:val="00276093"/>
    <w:rsid w:val="00276295"/>
    <w:rsid w:val="0027645E"/>
    <w:rsid w:val="0027657D"/>
    <w:rsid w:val="00276EFB"/>
    <w:rsid w:val="002771FE"/>
    <w:rsid w:val="0027729A"/>
    <w:rsid w:val="00277561"/>
    <w:rsid w:val="002776A5"/>
    <w:rsid w:val="00277CCC"/>
    <w:rsid w:val="00277FAE"/>
    <w:rsid w:val="00280231"/>
    <w:rsid w:val="002809B3"/>
    <w:rsid w:val="0028137E"/>
    <w:rsid w:val="002813D6"/>
    <w:rsid w:val="00281716"/>
    <w:rsid w:val="00281B28"/>
    <w:rsid w:val="00281BA7"/>
    <w:rsid w:val="00281F28"/>
    <w:rsid w:val="00282220"/>
    <w:rsid w:val="002825AA"/>
    <w:rsid w:val="002826BA"/>
    <w:rsid w:val="00283265"/>
    <w:rsid w:val="002839B8"/>
    <w:rsid w:val="002839F5"/>
    <w:rsid w:val="00283AFB"/>
    <w:rsid w:val="00283B0C"/>
    <w:rsid w:val="00283B6E"/>
    <w:rsid w:val="00283C4E"/>
    <w:rsid w:val="00283C90"/>
    <w:rsid w:val="00283DFC"/>
    <w:rsid w:val="0028419C"/>
    <w:rsid w:val="00284B61"/>
    <w:rsid w:val="00284D48"/>
    <w:rsid w:val="00285056"/>
    <w:rsid w:val="0028528F"/>
    <w:rsid w:val="002855DA"/>
    <w:rsid w:val="002855F4"/>
    <w:rsid w:val="00285626"/>
    <w:rsid w:val="00285A0E"/>
    <w:rsid w:val="00285F22"/>
    <w:rsid w:val="0028662A"/>
    <w:rsid w:val="002869E8"/>
    <w:rsid w:val="00286CAD"/>
    <w:rsid w:val="00286CB1"/>
    <w:rsid w:val="00286CF8"/>
    <w:rsid w:val="00287776"/>
    <w:rsid w:val="0028784D"/>
    <w:rsid w:val="00287AFE"/>
    <w:rsid w:val="00287B60"/>
    <w:rsid w:val="002901EF"/>
    <w:rsid w:val="00290362"/>
    <w:rsid w:val="002903D2"/>
    <w:rsid w:val="00290601"/>
    <w:rsid w:val="002906CB"/>
    <w:rsid w:val="002906DE"/>
    <w:rsid w:val="00290A14"/>
    <w:rsid w:val="00290C44"/>
    <w:rsid w:val="00290DC0"/>
    <w:rsid w:val="00290E0B"/>
    <w:rsid w:val="002910F1"/>
    <w:rsid w:val="00291111"/>
    <w:rsid w:val="002918AF"/>
    <w:rsid w:val="0029196C"/>
    <w:rsid w:val="00291D82"/>
    <w:rsid w:val="00291DA2"/>
    <w:rsid w:val="00291DCB"/>
    <w:rsid w:val="00292311"/>
    <w:rsid w:val="0029250C"/>
    <w:rsid w:val="00292612"/>
    <w:rsid w:val="002926AB"/>
    <w:rsid w:val="00292776"/>
    <w:rsid w:val="002928D5"/>
    <w:rsid w:val="00292B26"/>
    <w:rsid w:val="00292C5B"/>
    <w:rsid w:val="00292F84"/>
    <w:rsid w:val="00293B24"/>
    <w:rsid w:val="00293CA1"/>
    <w:rsid w:val="00293D12"/>
    <w:rsid w:val="00293DE6"/>
    <w:rsid w:val="00293E41"/>
    <w:rsid w:val="00294042"/>
    <w:rsid w:val="002947E3"/>
    <w:rsid w:val="0029489B"/>
    <w:rsid w:val="00294AE8"/>
    <w:rsid w:val="00294CD6"/>
    <w:rsid w:val="00294D17"/>
    <w:rsid w:val="00294EFB"/>
    <w:rsid w:val="00294F80"/>
    <w:rsid w:val="00294FB8"/>
    <w:rsid w:val="00295088"/>
    <w:rsid w:val="002950EB"/>
    <w:rsid w:val="00295696"/>
    <w:rsid w:val="00295934"/>
    <w:rsid w:val="00295BE0"/>
    <w:rsid w:val="00295D4C"/>
    <w:rsid w:val="00296061"/>
    <w:rsid w:val="0029606A"/>
    <w:rsid w:val="0029620A"/>
    <w:rsid w:val="00296808"/>
    <w:rsid w:val="00296850"/>
    <w:rsid w:val="0029691D"/>
    <w:rsid w:val="00296DAE"/>
    <w:rsid w:val="002970DE"/>
    <w:rsid w:val="002972A8"/>
    <w:rsid w:val="00297388"/>
    <w:rsid w:val="002976E4"/>
    <w:rsid w:val="00297C4D"/>
    <w:rsid w:val="00297CE6"/>
    <w:rsid w:val="00297D57"/>
    <w:rsid w:val="00297DEE"/>
    <w:rsid w:val="002A06EE"/>
    <w:rsid w:val="002A079E"/>
    <w:rsid w:val="002A095B"/>
    <w:rsid w:val="002A0988"/>
    <w:rsid w:val="002A0E87"/>
    <w:rsid w:val="002A1122"/>
    <w:rsid w:val="002A13FC"/>
    <w:rsid w:val="002A150B"/>
    <w:rsid w:val="002A158C"/>
    <w:rsid w:val="002A1801"/>
    <w:rsid w:val="002A1D13"/>
    <w:rsid w:val="002A1E9C"/>
    <w:rsid w:val="002A2211"/>
    <w:rsid w:val="002A29C9"/>
    <w:rsid w:val="002A2D9C"/>
    <w:rsid w:val="002A2E25"/>
    <w:rsid w:val="002A2FC4"/>
    <w:rsid w:val="002A3088"/>
    <w:rsid w:val="002A3427"/>
    <w:rsid w:val="002A35E7"/>
    <w:rsid w:val="002A3600"/>
    <w:rsid w:val="002A37FD"/>
    <w:rsid w:val="002A3ACC"/>
    <w:rsid w:val="002A3E05"/>
    <w:rsid w:val="002A408A"/>
    <w:rsid w:val="002A40A2"/>
    <w:rsid w:val="002A40E9"/>
    <w:rsid w:val="002A4575"/>
    <w:rsid w:val="002A458F"/>
    <w:rsid w:val="002A48FB"/>
    <w:rsid w:val="002A504D"/>
    <w:rsid w:val="002A50ED"/>
    <w:rsid w:val="002A519B"/>
    <w:rsid w:val="002A525F"/>
    <w:rsid w:val="002A5367"/>
    <w:rsid w:val="002A5674"/>
    <w:rsid w:val="002A56F4"/>
    <w:rsid w:val="002A57B5"/>
    <w:rsid w:val="002A5B22"/>
    <w:rsid w:val="002A5D3E"/>
    <w:rsid w:val="002A5D6B"/>
    <w:rsid w:val="002A6130"/>
    <w:rsid w:val="002A61F8"/>
    <w:rsid w:val="002A6233"/>
    <w:rsid w:val="002A6733"/>
    <w:rsid w:val="002A67E4"/>
    <w:rsid w:val="002A6A16"/>
    <w:rsid w:val="002A6C8D"/>
    <w:rsid w:val="002A6F6E"/>
    <w:rsid w:val="002A7264"/>
    <w:rsid w:val="002A757C"/>
    <w:rsid w:val="002B03AD"/>
    <w:rsid w:val="002B066A"/>
    <w:rsid w:val="002B09D1"/>
    <w:rsid w:val="002B0B0F"/>
    <w:rsid w:val="002B11B3"/>
    <w:rsid w:val="002B12CB"/>
    <w:rsid w:val="002B1535"/>
    <w:rsid w:val="002B1571"/>
    <w:rsid w:val="002B16A1"/>
    <w:rsid w:val="002B19BA"/>
    <w:rsid w:val="002B1A4F"/>
    <w:rsid w:val="002B219F"/>
    <w:rsid w:val="002B2910"/>
    <w:rsid w:val="002B2D41"/>
    <w:rsid w:val="002B2E3B"/>
    <w:rsid w:val="002B3140"/>
    <w:rsid w:val="002B45F1"/>
    <w:rsid w:val="002B4CE7"/>
    <w:rsid w:val="002B5274"/>
    <w:rsid w:val="002B5280"/>
    <w:rsid w:val="002B5452"/>
    <w:rsid w:val="002B5766"/>
    <w:rsid w:val="002B5AB3"/>
    <w:rsid w:val="002B6106"/>
    <w:rsid w:val="002B6154"/>
    <w:rsid w:val="002B655D"/>
    <w:rsid w:val="002B6639"/>
    <w:rsid w:val="002B67CD"/>
    <w:rsid w:val="002B69FE"/>
    <w:rsid w:val="002B6F9D"/>
    <w:rsid w:val="002B701F"/>
    <w:rsid w:val="002B77F0"/>
    <w:rsid w:val="002B7B42"/>
    <w:rsid w:val="002B7D91"/>
    <w:rsid w:val="002C03BB"/>
    <w:rsid w:val="002C0452"/>
    <w:rsid w:val="002C0519"/>
    <w:rsid w:val="002C0525"/>
    <w:rsid w:val="002C0590"/>
    <w:rsid w:val="002C0778"/>
    <w:rsid w:val="002C131F"/>
    <w:rsid w:val="002C157F"/>
    <w:rsid w:val="002C1918"/>
    <w:rsid w:val="002C1B5B"/>
    <w:rsid w:val="002C1EE6"/>
    <w:rsid w:val="002C2097"/>
    <w:rsid w:val="002C221D"/>
    <w:rsid w:val="002C2647"/>
    <w:rsid w:val="002C2866"/>
    <w:rsid w:val="002C28D7"/>
    <w:rsid w:val="002C2A8F"/>
    <w:rsid w:val="002C2CD4"/>
    <w:rsid w:val="002C2D08"/>
    <w:rsid w:val="002C2D18"/>
    <w:rsid w:val="002C3232"/>
    <w:rsid w:val="002C377C"/>
    <w:rsid w:val="002C3DEB"/>
    <w:rsid w:val="002C3EB4"/>
    <w:rsid w:val="002C41A6"/>
    <w:rsid w:val="002C443C"/>
    <w:rsid w:val="002C466E"/>
    <w:rsid w:val="002C4681"/>
    <w:rsid w:val="002C4A63"/>
    <w:rsid w:val="002C4E8E"/>
    <w:rsid w:val="002C4F7F"/>
    <w:rsid w:val="002C4F8A"/>
    <w:rsid w:val="002C5209"/>
    <w:rsid w:val="002C52FF"/>
    <w:rsid w:val="002C596C"/>
    <w:rsid w:val="002C615A"/>
    <w:rsid w:val="002C6554"/>
    <w:rsid w:val="002C6D4F"/>
    <w:rsid w:val="002C7010"/>
    <w:rsid w:val="002C793F"/>
    <w:rsid w:val="002C7AE6"/>
    <w:rsid w:val="002C7D31"/>
    <w:rsid w:val="002D03B6"/>
    <w:rsid w:val="002D04D1"/>
    <w:rsid w:val="002D0512"/>
    <w:rsid w:val="002D07DE"/>
    <w:rsid w:val="002D0EF9"/>
    <w:rsid w:val="002D1606"/>
    <w:rsid w:val="002D161F"/>
    <w:rsid w:val="002D1CCD"/>
    <w:rsid w:val="002D2209"/>
    <w:rsid w:val="002D22C5"/>
    <w:rsid w:val="002D2664"/>
    <w:rsid w:val="002D2C6B"/>
    <w:rsid w:val="002D3072"/>
    <w:rsid w:val="002D327B"/>
    <w:rsid w:val="002D32CF"/>
    <w:rsid w:val="002D3CD2"/>
    <w:rsid w:val="002D3CDA"/>
    <w:rsid w:val="002D3F59"/>
    <w:rsid w:val="002D4459"/>
    <w:rsid w:val="002D44EC"/>
    <w:rsid w:val="002D47B2"/>
    <w:rsid w:val="002D490B"/>
    <w:rsid w:val="002D4AE1"/>
    <w:rsid w:val="002D4D9D"/>
    <w:rsid w:val="002D4DA2"/>
    <w:rsid w:val="002D5080"/>
    <w:rsid w:val="002D557B"/>
    <w:rsid w:val="002D5817"/>
    <w:rsid w:val="002D5A02"/>
    <w:rsid w:val="002D5B91"/>
    <w:rsid w:val="002D5F9E"/>
    <w:rsid w:val="002D6945"/>
    <w:rsid w:val="002D695A"/>
    <w:rsid w:val="002D6F70"/>
    <w:rsid w:val="002D7713"/>
    <w:rsid w:val="002D778D"/>
    <w:rsid w:val="002D779C"/>
    <w:rsid w:val="002D7894"/>
    <w:rsid w:val="002D789E"/>
    <w:rsid w:val="002D7D68"/>
    <w:rsid w:val="002D7DAE"/>
    <w:rsid w:val="002D7F46"/>
    <w:rsid w:val="002E02AC"/>
    <w:rsid w:val="002E02BB"/>
    <w:rsid w:val="002E0444"/>
    <w:rsid w:val="002E04B2"/>
    <w:rsid w:val="002E04E0"/>
    <w:rsid w:val="002E0511"/>
    <w:rsid w:val="002E0652"/>
    <w:rsid w:val="002E077E"/>
    <w:rsid w:val="002E0886"/>
    <w:rsid w:val="002E089F"/>
    <w:rsid w:val="002E0A28"/>
    <w:rsid w:val="002E0E5B"/>
    <w:rsid w:val="002E10AB"/>
    <w:rsid w:val="002E11C4"/>
    <w:rsid w:val="002E1396"/>
    <w:rsid w:val="002E14AD"/>
    <w:rsid w:val="002E1512"/>
    <w:rsid w:val="002E1736"/>
    <w:rsid w:val="002E17CD"/>
    <w:rsid w:val="002E197A"/>
    <w:rsid w:val="002E1D35"/>
    <w:rsid w:val="002E24F4"/>
    <w:rsid w:val="002E25BB"/>
    <w:rsid w:val="002E291B"/>
    <w:rsid w:val="002E317C"/>
    <w:rsid w:val="002E318C"/>
    <w:rsid w:val="002E3806"/>
    <w:rsid w:val="002E3933"/>
    <w:rsid w:val="002E3AE3"/>
    <w:rsid w:val="002E3DD1"/>
    <w:rsid w:val="002E3EA9"/>
    <w:rsid w:val="002E40ED"/>
    <w:rsid w:val="002E43D0"/>
    <w:rsid w:val="002E464E"/>
    <w:rsid w:val="002E47E5"/>
    <w:rsid w:val="002E5168"/>
    <w:rsid w:val="002E526E"/>
    <w:rsid w:val="002E554D"/>
    <w:rsid w:val="002E58E8"/>
    <w:rsid w:val="002E5A62"/>
    <w:rsid w:val="002E5BC9"/>
    <w:rsid w:val="002E638A"/>
    <w:rsid w:val="002E64DD"/>
    <w:rsid w:val="002E678F"/>
    <w:rsid w:val="002E6890"/>
    <w:rsid w:val="002E6AB6"/>
    <w:rsid w:val="002E6E1A"/>
    <w:rsid w:val="002E7001"/>
    <w:rsid w:val="002E77BF"/>
    <w:rsid w:val="002E7A5C"/>
    <w:rsid w:val="002E7B71"/>
    <w:rsid w:val="002E7C4F"/>
    <w:rsid w:val="002E7DFB"/>
    <w:rsid w:val="002E7FB3"/>
    <w:rsid w:val="002F0278"/>
    <w:rsid w:val="002F03D6"/>
    <w:rsid w:val="002F0E9A"/>
    <w:rsid w:val="002F0EED"/>
    <w:rsid w:val="002F0F0B"/>
    <w:rsid w:val="002F14C5"/>
    <w:rsid w:val="002F18C8"/>
    <w:rsid w:val="002F1A7D"/>
    <w:rsid w:val="002F1AB1"/>
    <w:rsid w:val="002F1CE1"/>
    <w:rsid w:val="002F1FC1"/>
    <w:rsid w:val="002F2240"/>
    <w:rsid w:val="002F264D"/>
    <w:rsid w:val="002F29A3"/>
    <w:rsid w:val="002F2B54"/>
    <w:rsid w:val="002F2C78"/>
    <w:rsid w:val="002F2DE9"/>
    <w:rsid w:val="002F3508"/>
    <w:rsid w:val="002F40F3"/>
    <w:rsid w:val="002F45ED"/>
    <w:rsid w:val="002F4E07"/>
    <w:rsid w:val="002F50F6"/>
    <w:rsid w:val="002F5167"/>
    <w:rsid w:val="002F57EE"/>
    <w:rsid w:val="002F57FF"/>
    <w:rsid w:val="002F5977"/>
    <w:rsid w:val="002F5AE8"/>
    <w:rsid w:val="002F5B81"/>
    <w:rsid w:val="002F5C8E"/>
    <w:rsid w:val="002F60FC"/>
    <w:rsid w:val="002F61BF"/>
    <w:rsid w:val="002F64A6"/>
    <w:rsid w:val="002F64AD"/>
    <w:rsid w:val="002F65A1"/>
    <w:rsid w:val="002F6681"/>
    <w:rsid w:val="002F68EA"/>
    <w:rsid w:val="002F7348"/>
    <w:rsid w:val="002F74EF"/>
    <w:rsid w:val="002F7596"/>
    <w:rsid w:val="002F76A9"/>
    <w:rsid w:val="002F790F"/>
    <w:rsid w:val="002F7D09"/>
    <w:rsid w:val="002F7D7C"/>
    <w:rsid w:val="003000E3"/>
    <w:rsid w:val="003001D9"/>
    <w:rsid w:val="00300360"/>
    <w:rsid w:val="003004E3"/>
    <w:rsid w:val="003005C7"/>
    <w:rsid w:val="00300A0A"/>
    <w:rsid w:val="00300A26"/>
    <w:rsid w:val="00300B87"/>
    <w:rsid w:val="00300F61"/>
    <w:rsid w:val="003019E3"/>
    <w:rsid w:val="00301B1E"/>
    <w:rsid w:val="00301C21"/>
    <w:rsid w:val="00301CE5"/>
    <w:rsid w:val="00301D28"/>
    <w:rsid w:val="003022D5"/>
    <w:rsid w:val="00302457"/>
    <w:rsid w:val="003027E4"/>
    <w:rsid w:val="00302931"/>
    <w:rsid w:val="00302F32"/>
    <w:rsid w:val="00303142"/>
    <w:rsid w:val="0030353A"/>
    <w:rsid w:val="003036BD"/>
    <w:rsid w:val="00303B3E"/>
    <w:rsid w:val="00303D3B"/>
    <w:rsid w:val="00303FC6"/>
    <w:rsid w:val="0030438F"/>
    <w:rsid w:val="003044B4"/>
    <w:rsid w:val="0030461B"/>
    <w:rsid w:val="0030484C"/>
    <w:rsid w:val="003049AF"/>
    <w:rsid w:val="00304B08"/>
    <w:rsid w:val="00304DD6"/>
    <w:rsid w:val="003050D0"/>
    <w:rsid w:val="00305105"/>
    <w:rsid w:val="0030560E"/>
    <w:rsid w:val="00305650"/>
    <w:rsid w:val="00305C97"/>
    <w:rsid w:val="00305D55"/>
    <w:rsid w:val="00305DFE"/>
    <w:rsid w:val="00305E84"/>
    <w:rsid w:val="00306147"/>
    <w:rsid w:val="00306507"/>
    <w:rsid w:val="00306622"/>
    <w:rsid w:val="003068B0"/>
    <w:rsid w:val="00306BA3"/>
    <w:rsid w:val="00307179"/>
    <w:rsid w:val="003071D9"/>
    <w:rsid w:val="00307455"/>
    <w:rsid w:val="003074F0"/>
    <w:rsid w:val="00310CCD"/>
    <w:rsid w:val="003113EB"/>
    <w:rsid w:val="00311458"/>
    <w:rsid w:val="00311492"/>
    <w:rsid w:val="00311822"/>
    <w:rsid w:val="00311CC9"/>
    <w:rsid w:val="00312146"/>
    <w:rsid w:val="003129DD"/>
    <w:rsid w:val="00312DC0"/>
    <w:rsid w:val="003132E1"/>
    <w:rsid w:val="003135F3"/>
    <w:rsid w:val="0031384B"/>
    <w:rsid w:val="003138FA"/>
    <w:rsid w:val="0031392D"/>
    <w:rsid w:val="00313C9A"/>
    <w:rsid w:val="00314008"/>
    <w:rsid w:val="0031406D"/>
    <w:rsid w:val="003140E8"/>
    <w:rsid w:val="00314A7D"/>
    <w:rsid w:val="00314BE3"/>
    <w:rsid w:val="00314CB1"/>
    <w:rsid w:val="00314DFB"/>
    <w:rsid w:val="003150AE"/>
    <w:rsid w:val="0031511D"/>
    <w:rsid w:val="003151B1"/>
    <w:rsid w:val="00315315"/>
    <w:rsid w:val="00315A04"/>
    <w:rsid w:val="00315BBD"/>
    <w:rsid w:val="00315C0E"/>
    <w:rsid w:val="0031625C"/>
    <w:rsid w:val="00316264"/>
    <w:rsid w:val="0031659F"/>
    <w:rsid w:val="003165B4"/>
    <w:rsid w:val="00316748"/>
    <w:rsid w:val="003167FD"/>
    <w:rsid w:val="00316C9D"/>
    <w:rsid w:val="003170DC"/>
    <w:rsid w:val="00317164"/>
    <w:rsid w:val="00317758"/>
    <w:rsid w:val="00317B1D"/>
    <w:rsid w:val="003201EE"/>
    <w:rsid w:val="00320312"/>
    <w:rsid w:val="00320478"/>
    <w:rsid w:val="003204EF"/>
    <w:rsid w:val="00320580"/>
    <w:rsid w:val="003210D9"/>
    <w:rsid w:val="00321A49"/>
    <w:rsid w:val="00321AF9"/>
    <w:rsid w:val="00321D93"/>
    <w:rsid w:val="00321E19"/>
    <w:rsid w:val="00321E4A"/>
    <w:rsid w:val="00321FDC"/>
    <w:rsid w:val="00321FF9"/>
    <w:rsid w:val="00322194"/>
    <w:rsid w:val="003239F5"/>
    <w:rsid w:val="00323D11"/>
    <w:rsid w:val="00323E5B"/>
    <w:rsid w:val="0032480C"/>
    <w:rsid w:val="0032515C"/>
    <w:rsid w:val="00325603"/>
    <w:rsid w:val="00325795"/>
    <w:rsid w:val="003257F0"/>
    <w:rsid w:val="00325A3B"/>
    <w:rsid w:val="00325E18"/>
    <w:rsid w:val="00325E29"/>
    <w:rsid w:val="003263B2"/>
    <w:rsid w:val="0032645A"/>
    <w:rsid w:val="003268F4"/>
    <w:rsid w:val="003269CA"/>
    <w:rsid w:val="00326DDE"/>
    <w:rsid w:val="003271A6"/>
    <w:rsid w:val="003272C0"/>
    <w:rsid w:val="003274E2"/>
    <w:rsid w:val="00327580"/>
    <w:rsid w:val="00327732"/>
    <w:rsid w:val="00327A37"/>
    <w:rsid w:val="00327A49"/>
    <w:rsid w:val="00327D44"/>
    <w:rsid w:val="003301E9"/>
    <w:rsid w:val="003303B0"/>
    <w:rsid w:val="0033056D"/>
    <w:rsid w:val="00330599"/>
    <w:rsid w:val="00330BE2"/>
    <w:rsid w:val="00330DA4"/>
    <w:rsid w:val="003316A3"/>
    <w:rsid w:val="00331708"/>
    <w:rsid w:val="00331832"/>
    <w:rsid w:val="003319E2"/>
    <w:rsid w:val="00331D7E"/>
    <w:rsid w:val="00331DE3"/>
    <w:rsid w:val="00331E4A"/>
    <w:rsid w:val="003321DA"/>
    <w:rsid w:val="003326AD"/>
    <w:rsid w:val="003327C4"/>
    <w:rsid w:val="003327FA"/>
    <w:rsid w:val="003328FC"/>
    <w:rsid w:val="0033369E"/>
    <w:rsid w:val="0033371C"/>
    <w:rsid w:val="0033376C"/>
    <w:rsid w:val="0033398B"/>
    <w:rsid w:val="00333AC3"/>
    <w:rsid w:val="00334021"/>
    <w:rsid w:val="0033405D"/>
    <w:rsid w:val="00334377"/>
    <w:rsid w:val="00334603"/>
    <w:rsid w:val="00334901"/>
    <w:rsid w:val="0033495E"/>
    <w:rsid w:val="00334D5B"/>
    <w:rsid w:val="00334E73"/>
    <w:rsid w:val="00334F45"/>
    <w:rsid w:val="00335093"/>
    <w:rsid w:val="0033516C"/>
    <w:rsid w:val="00335533"/>
    <w:rsid w:val="003357FC"/>
    <w:rsid w:val="00335DF7"/>
    <w:rsid w:val="00335E89"/>
    <w:rsid w:val="00335F35"/>
    <w:rsid w:val="003361E4"/>
    <w:rsid w:val="003365DD"/>
    <w:rsid w:val="00336D6D"/>
    <w:rsid w:val="00336D9F"/>
    <w:rsid w:val="00336E0D"/>
    <w:rsid w:val="00336EE9"/>
    <w:rsid w:val="003371F5"/>
    <w:rsid w:val="003373C6"/>
    <w:rsid w:val="003377C2"/>
    <w:rsid w:val="003377EB"/>
    <w:rsid w:val="003378A2"/>
    <w:rsid w:val="00337991"/>
    <w:rsid w:val="00337BF9"/>
    <w:rsid w:val="00337E11"/>
    <w:rsid w:val="0034011D"/>
    <w:rsid w:val="0034019B"/>
    <w:rsid w:val="0034051D"/>
    <w:rsid w:val="003405B0"/>
    <w:rsid w:val="00340ADD"/>
    <w:rsid w:val="00340D86"/>
    <w:rsid w:val="003410E1"/>
    <w:rsid w:val="00341208"/>
    <w:rsid w:val="0034122E"/>
    <w:rsid w:val="0034140E"/>
    <w:rsid w:val="003415F5"/>
    <w:rsid w:val="003418BD"/>
    <w:rsid w:val="00341BB4"/>
    <w:rsid w:val="00341C85"/>
    <w:rsid w:val="0034217B"/>
    <w:rsid w:val="003421CD"/>
    <w:rsid w:val="0034220A"/>
    <w:rsid w:val="0034238A"/>
    <w:rsid w:val="00342499"/>
    <w:rsid w:val="003432D0"/>
    <w:rsid w:val="00343404"/>
    <w:rsid w:val="00343A74"/>
    <w:rsid w:val="00343B60"/>
    <w:rsid w:val="00343DF4"/>
    <w:rsid w:val="00343FA7"/>
    <w:rsid w:val="00344060"/>
    <w:rsid w:val="00344129"/>
    <w:rsid w:val="0034423A"/>
    <w:rsid w:val="003451F5"/>
    <w:rsid w:val="003457EB"/>
    <w:rsid w:val="003457FE"/>
    <w:rsid w:val="00345CE8"/>
    <w:rsid w:val="00345F83"/>
    <w:rsid w:val="003463BC"/>
    <w:rsid w:val="00346466"/>
    <w:rsid w:val="00346588"/>
    <w:rsid w:val="003466D2"/>
    <w:rsid w:val="00346D73"/>
    <w:rsid w:val="00347016"/>
    <w:rsid w:val="00347041"/>
    <w:rsid w:val="00347144"/>
    <w:rsid w:val="003474BC"/>
    <w:rsid w:val="0034769F"/>
    <w:rsid w:val="003476BB"/>
    <w:rsid w:val="003478ED"/>
    <w:rsid w:val="00347929"/>
    <w:rsid w:val="00347946"/>
    <w:rsid w:val="00347F39"/>
    <w:rsid w:val="003500C2"/>
    <w:rsid w:val="00350272"/>
    <w:rsid w:val="00350327"/>
    <w:rsid w:val="0035048E"/>
    <w:rsid w:val="003504CE"/>
    <w:rsid w:val="003505AA"/>
    <w:rsid w:val="003506C0"/>
    <w:rsid w:val="00350729"/>
    <w:rsid w:val="00350D1A"/>
    <w:rsid w:val="00350D88"/>
    <w:rsid w:val="003512EC"/>
    <w:rsid w:val="00351CB3"/>
    <w:rsid w:val="00351FBD"/>
    <w:rsid w:val="003522B7"/>
    <w:rsid w:val="00352330"/>
    <w:rsid w:val="003524EE"/>
    <w:rsid w:val="00352574"/>
    <w:rsid w:val="0035268D"/>
    <w:rsid w:val="00352902"/>
    <w:rsid w:val="00352A33"/>
    <w:rsid w:val="00352F28"/>
    <w:rsid w:val="00352FFE"/>
    <w:rsid w:val="0035322E"/>
    <w:rsid w:val="0035324C"/>
    <w:rsid w:val="003533C9"/>
    <w:rsid w:val="0035370D"/>
    <w:rsid w:val="00353C87"/>
    <w:rsid w:val="00353FE1"/>
    <w:rsid w:val="00354115"/>
    <w:rsid w:val="00354265"/>
    <w:rsid w:val="0035467C"/>
    <w:rsid w:val="003547D5"/>
    <w:rsid w:val="00355099"/>
    <w:rsid w:val="003556BF"/>
    <w:rsid w:val="00355848"/>
    <w:rsid w:val="00355AED"/>
    <w:rsid w:val="0035621E"/>
    <w:rsid w:val="0035627C"/>
    <w:rsid w:val="003562AB"/>
    <w:rsid w:val="003568E7"/>
    <w:rsid w:val="00356D61"/>
    <w:rsid w:val="0035700B"/>
    <w:rsid w:val="00357217"/>
    <w:rsid w:val="00357544"/>
    <w:rsid w:val="0035782C"/>
    <w:rsid w:val="003579DC"/>
    <w:rsid w:val="00357ADE"/>
    <w:rsid w:val="00357B09"/>
    <w:rsid w:val="00357CA5"/>
    <w:rsid w:val="00360243"/>
    <w:rsid w:val="00360407"/>
    <w:rsid w:val="00360430"/>
    <w:rsid w:val="003606A7"/>
    <w:rsid w:val="00360792"/>
    <w:rsid w:val="0036083A"/>
    <w:rsid w:val="00360926"/>
    <w:rsid w:val="00360947"/>
    <w:rsid w:val="0036095A"/>
    <w:rsid w:val="0036098A"/>
    <w:rsid w:val="00360A13"/>
    <w:rsid w:val="003613F0"/>
    <w:rsid w:val="0036181B"/>
    <w:rsid w:val="003618ED"/>
    <w:rsid w:val="0036192D"/>
    <w:rsid w:val="00361A57"/>
    <w:rsid w:val="00361AE0"/>
    <w:rsid w:val="003628DE"/>
    <w:rsid w:val="00362B97"/>
    <w:rsid w:val="00362C19"/>
    <w:rsid w:val="00362CFD"/>
    <w:rsid w:val="00362D9C"/>
    <w:rsid w:val="00362E80"/>
    <w:rsid w:val="00363127"/>
    <w:rsid w:val="0036326D"/>
    <w:rsid w:val="003633D8"/>
    <w:rsid w:val="0036381B"/>
    <w:rsid w:val="00364241"/>
    <w:rsid w:val="00365155"/>
    <w:rsid w:val="003651B0"/>
    <w:rsid w:val="00365830"/>
    <w:rsid w:val="00365EEF"/>
    <w:rsid w:val="0036646F"/>
    <w:rsid w:val="0036679B"/>
    <w:rsid w:val="00366AF4"/>
    <w:rsid w:val="00366C68"/>
    <w:rsid w:val="0036731C"/>
    <w:rsid w:val="0036733F"/>
    <w:rsid w:val="0036754C"/>
    <w:rsid w:val="003679B6"/>
    <w:rsid w:val="003679E4"/>
    <w:rsid w:val="0037011D"/>
    <w:rsid w:val="00370675"/>
    <w:rsid w:val="003706D5"/>
    <w:rsid w:val="0037070C"/>
    <w:rsid w:val="00370868"/>
    <w:rsid w:val="003708B6"/>
    <w:rsid w:val="00370FEC"/>
    <w:rsid w:val="003712D5"/>
    <w:rsid w:val="00371691"/>
    <w:rsid w:val="00371CEC"/>
    <w:rsid w:val="00371E10"/>
    <w:rsid w:val="00371E76"/>
    <w:rsid w:val="00371F66"/>
    <w:rsid w:val="00371FCE"/>
    <w:rsid w:val="00372171"/>
    <w:rsid w:val="00372492"/>
    <w:rsid w:val="0037266D"/>
    <w:rsid w:val="003726C7"/>
    <w:rsid w:val="003727C6"/>
    <w:rsid w:val="003727F0"/>
    <w:rsid w:val="00372958"/>
    <w:rsid w:val="00372DAB"/>
    <w:rsid w:val="00372DB3"/>
    <w:rsid w:val="0037318A"/>
    <w:rsid w:val="0037337F"/>
    <w:rsid w:val="003734FF"/>
    <w:rsid w:val="00373809"/>
    <w:rsid w:val="003740D1"/>
    <w:rsid w:val="0037414E"/>
    <w:rsid w:val="00374360"/>
    <w:rsid w:val="00374538"/>
    <w:rsid w:val="003749AF"/>
    <w:rsid w:val="003749EB"/>
    <w:rsid w:val="00374B36"/>
    <w:rsid w:val="00374D41"/>
    <w:rsid w:val="00374DCA"/>
    <w:rsid w:val="00374FDA"/>
    <w:rsid w:val="0037536B"/>
    <w:rsid w:val="00375A90"/>
    <w:rsid w:val="00375EE3"/>
    <w:rsid w:val="003760C4"/>
    <w:rsid w:val="00376330"/>
    <w:rsid w:val="00376633"/>
    <w:rsid w:val="003767B9"/>
    <w:rsid w:val="00376AA9"/>
    <w:rsid w:val="00376D30"/>
    <w:rsid w:val="00376DC4"/>
    <w:rsid w:val="0037756F"/>
    <w:rsid w:val="00377782"/>
    <w:rsid w:val="00377927"/>
    <w:rsid w:val="00377A30"/>
    <w:rsid w:val="00377DAB"/>
    <w:rsid w:val="0038103F"/>
    <w:rsid w:val="0038116F"/>
    <w:rsid w:val="003811FB"/>
    <w:rsid w:val="00381574"/>
    <w:rsid w:val="0038177A"/>
    <w:rsid w:val="00381B79"/>
    <w:rsid w:val="00381D29"/>
    <w:rsid w:val="00381F9F"/>
    <w:rsid w:val="003820D0"/>
    <w:rsid w:val="00382207"/>
    <w:rsid w:val="0038227E"/>
    <w:rsid w:val="00382317"/>
    <w:rsid w:val="003825C7"/>
    <w:rsid w:val="00382657"/>
    <w:rsid w:val="003827B5"/>
    <w:rsid w:val="003828F9"/>
    <w:rsid w:val="00382BC1"/>
    <w:rsid w:val="00382CA4"/>
    <w:rsid w:val="00382E3D"/>
    <w:rsid w:val="00382ECD"/>
    <w:rsid w:val="00383423"/>
    <w:rsid w:val="00383C2B"/>
    <w:rsid w:val="0038443C"/>
    <w:rsid w:val="00384672"/>
    <w:rsid w:val="00384AB2"/>
    <w:rsid w:val="00384AB7"/>
    <w:rsid w:val="00384C2F"/>
    <w:rsid w:val="00384D4E"/>
    <w:rsid w:val="00385051"/>
    <w:rsid w:val="00385340"/>
    <w:rsid w:val="00385A25"/>
    <w:rsid w:val="00385C9D"/>
    <w:rsid w:val="00385D02"/>
    <w:rsid w:val="0038609C"/>
    <w:rsid w:val="003863D5"/>
    <w:rsid w:val="003864D7"/>
    <w:rsid w:val="003865D0"/>
    <w:rsid w:val="00386964"/>
    <w:rsid w:val="00386B98"/>
    <w:rsid w:val="00386C43"/>
    <w:rsid w:val="00386C76"/>
    <w:rsid w:val="00386CDA"/>
    <w:rsid w:val="00386E67"/>
    <w:rsid w:val="00386EBF"/>
    <w:rsid w:val="00386F2C"/>
    <w:rsid w:val="003875BE"/>
    <w:rsid w:val="00387797"/>
    <w:rsid w:val="00387838"/>
    <w:rsid w:val="00387892"/>
    <w:rsid w:val="00387D0E"/>
    <w:rsid w:val="0039023B"/>
    <w:rsid w:val="003907D8"/>
    <w:rsid w:val="003909CE"/>
    <w:rsid w:val="00390D79"/>
    <w:rsid w:val="00391065"/>
    <w:rsid w:val="0039119D"/>
    <w:rsid w:val="00391537"/>
    <w:rsid w:val="0039174A"/>
    <w:rsid w:val="00391945"/>
    <w:rsid w:val="00391A78"/>
    <w:rsid w:val="00391C7D"/>
    <w:rsid w:val="00392144"/>
    <w:rsid w:val="003921DF"/>
    <w:rsid w:val="00392557"/>
    <w:rsid w:val="003928CE"/>
    <w:rsid w:val="003929E3"/>
    <w:rsid w:val="00392ABE"/>
    <w:rsid w:val="003930C2"/>
    <w:rsid w:val="003931AB"/>
    <w:rsid w:val="00393B19"/>
    <w:rsid w:val="00393EE0"/>
    <w:rsid w:val="00394167"/>
    <w:rsid w:val="003946C1"/>
    <w:rsid w:val="0039476A"/>
    <w:rsid w:val="003947D7"/>
    <w:rsid w:val="00394CCD"/>
    <w:rsid w:val="00394D27"/>
    <w:rsid w:val="00395016"/>
    <w:rsid w:val="00395026"/>
    <w:rsid w:val="0039521E"/>
    <w:rsid w:val="00395758"/>
    <w:rsid w:val="00395C81"/>
    <w:rsid w:val="00395CD9"/>
    <w:rsid w:val="00396241"/>
    <w:rsid w:val="003969EC"/>
    <w:rsid w:val="00396A0D"/>
    <w:rsid w:val="00396C08"/>
    <w:rsid w:val="00396C9C"/>
    <w:rsid w:val="00396D7C"/>
    <w:rsid w:val="0039794F"/>
    <w:rsid w:val="00397979"/>
    <w:rsid w:val="00397F36"/>
    <w:rsid w:val="003A00E3"/>
    <w:rsid w:val="003A0837"/>
    <w:rsid w:val="003A0D90"/>
    <w:rsid w:val="003A0E1D"/>
    <w:rsid w:val="003A1717"/>
    <w:rsid w:val="003A1812"/>
    <w:rsid w:val="003A18C2"/>
    <w:rsid w:val="003A1977"/>
    <w:rsid w:val="003A1A24"/>
    <w:rsid w:val="003A1A44"/>
    <w:rsid w:val="003A1B80"/>
    <w:rsid w:val="003A1E25"/>
    <w:rsid w:val="003A1FF0"/>
    <w:rsid w:val="003A2197"/>
    <w:rsid w:val="003A23E7"/>
    <w:rsid w:val="003A2894"/>
    <w:rsid w:val="003A303D"/>
    <w:rsid w:val="003A3050"/>
    <w:rsid w:val="003A324D"/>
    <w:rsid w:val="003A325D"/>
    <w:rsid w:val="003A32EA"/>
    <w:rsid w:val="003A335C"/>
    <w:rsid w:val="003A355E"/>
    <w:rsid w:val="003A3681"/>
    <w:rsid w:val="003A375D"/>
    <w:rsid w:val="003A37AD"/>
    <w:rsid w:val="003A3AC2"/>
    <w:rsid w:val="003A3AEA"/>
    <w:rsid w:val="003A4426"/>
    <w:rsid w:val="003A4A2A"/>
    <w:rsid w:val="003A4B52"/>
    <w:rsid w:val="003A5258"/>
    <w:rsid w:val="003A56F5"/>
    <w:rsid w:val="003A576C"/>
    <w:rsid w:val="003A6199"/>
    <w:rsid w:val="003A62C7"/>
    <w:rsid w:val="003A634D"/>
    <w:rsid w:val="003A6526"/>
    <w:rsid w:val="003A694F"/>
    <w:rsid w:val="003A69B7"/>
    <w:rsid w:val="003A7208"/>
    <w:rsid w:val="003A7467"/>
    <w:rsid w:val="003A7539"/>
    <w:rsid w:val="003A7B0F"/>
    <w:rsid w:val="003A7DB5"/>
    <w:rsid w:val="003B0088"/>
    <w:rsid w:val="003B0461"/>
    <w:rsid w:val="003B0465"/>
    <w:rsid w:val="003B0521"/>
    <w:rsid w:val="003B05FF"/>
    <w:rsid w:val="003B0818"/>
    <w:rsid w:val="003B0D95"/>
    <w:rsid w:val="003B1205"/>
    <w:rsid w:val="003B147B"/>
    <w:rsid w:val="003B18A3"/>
    <w:rsid w:val="003B1EC5"/>
    <w:rsid w:val="003B2272"/>
    <w:rsid w:val="003B2F15"/>
    <w:rsid w:val="003B31E2"/>
    <w:rsid w:val="003B3670"/>
    <w:rsid w:val="003B397C"/>
    <w:rsid w:val="003B3997"/>
    <w:rsid w:val="003B39CE"/>
    <w:rsid w:val="003B3AC6"/>
    <w:rsid w:val="003B3B27"/>
    <w:rsid w:val="003B3C3E"/>
    <w:rsid w:val="003B4044"/>
    <w:rsid w:val="003B480F"/>
    <w:rsid w:val="003B4B46"/>
    <w:rsid w:val="003B4D6E"/>
    <w:rsid w:val="003B4D93"/>
    <w:rsid w:val="003B4E7D"/>
    <w:rsid w:val="003B50CF"/>
    <w:rsid w:val="003B5211"/>
    <w:rsid w:val="003B5439"/>
    <w:rsid w:val="003B57F7"/>
    <w:rsid w:val="003B5B52"/>
    <w:rsid w:val="003B5E35"/>
    <w:rsid w:val="003B6116"/>
    <w:rsid w:val="003B6451"/>
    <w:rsid w:val="003B67C1"/>
    <w:rsid w:val="003B67F0"/>
    <w:rsid w:val="003B690B"/>
    <w:rsid w:val="003B6B9F"/>
    <w:rsid w:val="003B6BD7"/>
    <w:rsid w:val="003B6EDD"/>
    <w:rsid w:val="003B6FC5"/>
    <w:rsid w:val="003B719E"/>
    <w:rsid w:val="003B73A2"/>
    <w:rsid w:val="003B7B0B"/>
    <w:rsid w:val="003B7B54"/>
    <w:rsid w:val="003B7DB8"/>
    <w:rsid w:val="003B7DE0"/>
    <w:rsid w:val="003B7F53"/>
    <w:rsid w:val="003C013B"/>
    <w:rsid w:val="003C03EE"/>
    <w:rsid w:val="003C0459"/>
    <w:rsid w:val="003C0966"/>
    <w:rsid w:val="003C09D0"/>
    <w:rsid w:val="003C0A3C"/>
    <w:rsid w:val="003C0A64"/>
    <w:rsid w:val="003C0CF0"/>
    <w:rsid w:val="003C0DBC"/>
    <w:rsid w:val="003C0EBE"/>
    <w:rsid w:val="003C0F14"/>
    <w:rsid w:val="003C0F38"/>
    <w:rsid w:val="003C0FFA"/>
    <w:rsid w:val="003C10D5"/>
    <w:rsid w:val="003C14E8"/>
    <w:rsid w:val="003C1580"/>
    <w:rsid w:val="003C1626"/>
    <w:rsid w:val="003C1A4B"/>
    <w:rsid w:val="003C1AF3"/>
    <w:rsid w:val="003C1CA0"/>
    <w:rsid w:val="003C1CA4"/>
    <w:rsid w:val="003C1CAD"/>
    <w:rsid w:val="003C2DE5"/>
    <w:rsid w:val="003C2EAE"/>
    <w:rsid w:val="003C31D5"/>
    <w:rsid w:val="003C32C4"/>
    <w:rsid w:val="003C33CB"/>
    <w:rsid w:val="003C36A4"/>
    <w:rsid w:val="003C3720"/>
    <w:rsid w:val="003C3F02"/>
    <w:rsid w:val="003C40EC"/>
    <w:rsid w:val="003C4217"/>
    <w:rsid w:val="003C4F5D"/>
    <w:rsid w:val="003C4F69"/>
    <w:rsid w:val="003C56C0"/>
    <w:rsid w:val="003C5B79"/>
    <w:rsid w:val="003C603C"/>
    <w:rsid w:val="003C635A"/>
    <w:rsid w:val="003C707B"/>
    <w:rsid w:val="003C7240"/>
    <w:rsid w:val="003C750C"/>
    <w:rsid w:val="003C754F"/>
    <w:rsid w:val="003C7C53"/>
    <w:rsid w:val="003C7D37"/>
    <w:rsid w:val="003D0234"/>
    <w:rsid w:val="003D0268"/>
    <w:rsid w:val="003D041E"/>
    <w:rsid w:val="003D04E0"/>
    <w:rsid w:val="003D0621"/>
    <w:rsid w:val="003D0B5B"/>
    <w:rsid w:val="003D0ED9"/>
    <w:rsid w:val="003D1039"/>
    <w:rsid w:val="003D1235"/>
    <w:rsid w:val="003D188E"/>
    <w:rsid w:val="003D190D"/>
    <w:rsid w:val="003D19BE"/>
    <w:rsid w:val="003D1B08"/>
    <w:rsid w:val="003D1CCD"/>
    <w:rsid w:val="003D1EEE"/>
    <w:rsid w:val="003D1F84"/>
    <w:rsid w:val="003D221D"/>
    <w:rsid w:val="003D2469"/>
    <w:rsid w:val="003D248A"/>
    <w:rsid w:val="003D267E"/>
    <w:rsid w:val="003D2B7F"/>
    <w:rsid w:val="003D2F5B"/>
    <w:rsid w:val="003D31E6"/>
    <w:rsid w:val="003D335D"/>
    <w:rsid w:val="003D341A"/>
    <w:rsid w:val="003D34DC"/>
    <w:rsid w:val="003D38A6"/>
    <w:rsid w:val="003D3D2C"/>
    <w:rsid w:val="003D4D33"/>
    <w:rsid w:val="003D56AE"/>
    <w:rsid w:val="003D5787"/>
    <w:rsid w:val="003D5AC8"/>
    <w:rsid w:val="003D5AF2"/>
    <w:rsid w:val="003D5C30"/>
    <w:rsid w:val="003D5CF7"/>
    <w:rsid w:val="003D5D42"/>
    <w:rsid w:val="003D6012"/>
    <w:rsid w:val="003D6748"/>
    <w:rsid w:val="003D6D45"/>
    <w:rsid w:val="003D7704"/>
    <w:rsid w:val="003D7A5B"/>
    <w:rsid w:val="003D7DD1"/>
    <w:rsid w:val="003E01C9"/>
    <w:rsid w:val="003E02A3"/>
    <w:rsid w:val="003E07C9"/>
    <w:rsid w:val="003E0C6C"/>
    <w:rsid w:val="003E1586"/>
    <w:rsid w:val="003E185B"/>
    <w:rsid w:val="003E1999"/>
    <w:rsid w:val="003E1B6B"/>
    <w:rsid w:val="003E1E1E"/>
    <w:rsid w:val="003E1E36"/>
    <w:rsid w:val="003E2518"/>
    <w:rsid w:val="003E3130"/>
    <w:rsid w:val="003E3943"/>
    <w:rsid w:val="003E3B67"/>
    <w:rsid w:val="003E3DB3"/>
    <w:rsid w:val="003E408D"/>
    <w:rsid w:val="003E4F07"/>
    <w:rsid w:val="003E520B"/>
    <w:rsid w:val="003E55B1"/>
    <w:rsid w:val="003E59BB"/>
    <w:rsid w:val="003E5F01"/>
    <w:rsid w:val="003E6060"/>
    <w:rsid w:val="003E632F"/>
    <w:rsid w:val="003E6487"/>
    <w:rsid w:val="003E65AB"/>
    <w:rsid w:val="003E6678"/>
    <w:rsid w:val="003E70F7"/>
    <w:rsid w:val="003E7589"/>
    <w:rsid w:val="003E7688"/>
    <w:rsid w:val="003E7F80"/>
    <w:rsid w:val="003F0074"/>
    <w:rsid w:val="003F0191"/>
    <w:rsid w:val="003F086F"/>
    <w:rsid w:val="003F091E"/>
    <w:rsid w:val="003F0E5B"/>
    <w:rsid w:val="003F134D"/>
    <w:rsid w:val="003F14A3"/>
    <w:rsid w:val="003F1514"/>
    <w:rsid w:val="003F15B3"/>
    <w:rsid w:val="003F1633"/>
    <w:rsid w:val="003F1B25"/>
    <w:rsid w:val="003F1DC8"/>
    <w:rsid w:val="003F1E7C"/>
    <w:rsid w:val="003F206D"/>
    <w:rsid w:val="003F2850"/>
    <w:rsid w:val="003F2A93"/>
    <w:rsid w:val="003F2D02"/>
    <w:rsid w:val="003F2FBF"/>
    <w:rsid w:val="003F31DE"/>
    <w:rsid w:val="003F338A"/>
    <w:rsid w:val="003F3767"/>
    <w:rsid w:val="003F392C"/>
    <w:rsid w:val="003F3CD5"/>
    <w:rsid w:val="003F3E19"/>
    <w:rsid w:val="003F3E1C"/>
    <w:rsid w:val="003F42F4"/>
    <w:rsid w:val="003F4401"/>
    <w:rsid w:val="003F44BB"/>
    <w:rsid w:val="003F4644"/>
    <w:rsid w:val="003F484B"/>
    <w:rsid w:val="003F48C5"/>
    <w:rsid w:val="003F4BA3"/>
    <w:rsid w:val="003F4E1E"/>
    <w:rsid w:val="003F5017"/>
    <w:rsid w:val="003F51F2"/>
    <w:rsid w:val="003F5348"/>
    <w:rsid w:val="003F5404"/>
    <w:rsid w:val="003F5AEA"/>
    <w:rsid w:val="003F5B7E"/>
    <w:rsid w:val="003F5ED1"/>
    <w:rsid w:val="003F6009"/>
    <w:rsid w:val="003F60C9"/>
    <w:rsid w:val="003F629B"/>
    <w:rsid w:val="003F644A"/>
    <w:rsid w:val="003F6564"/>
    <w:rsid w:val="003F677A"/>
    <w:rsid w:val="003F6850"/>
    <w:rsid w:val="003F696C"/>
    <w:rsid w:val="003F6B98"/>
    <w:rsid w:val="003F6BFD"/>
    <w:rsid w:val="003F6C13"/>
    <w:rsid w:val="003F6C37"/>
    <w:rsid w:val="003F6E8A"/>
    <w:rsid w:val="003F7029"/>
    <w:rsid w:val="003F751C"/>
    <w:rsid w:val="003F7661"/>
    <w:rsid w:val="003F780E"/>
    <w:rsid w:val="003F7C2A"/>
    <w:rsid w:val="003F7F63"/>
    <w:rsid w:val="0040014E"/>
    <w:rsid w:val="004003C5"/>
    <w:rsid w:val="0040063F"/>
    <w:rsid w:val="00400710"/>
    <w:rsid w:val="004008F7"/>
    <w:rsid w:val="00400BE0"/>
    <w:rsid w:val="00400CD8"/>
    <w:rsid w:val="00400FC0"/>
    <w:rsid w:val="00401160"/>
    <w:rsid w:val="0040133A"/>
    <w:rsid w:val="0040184B"/>
    <w:rsid w:val="004018C1"/>
    <w:rsid w:val="00401FF1"/>
    <w:rsid w:val="0040236F"/>
    <w:rsid w:val="004025EA"/>
    <w:rsid w:val="00402B2E"/>
    <w:rsid w:val="00402BE8"/>
    <w:rsid w:val="00402BF7"/>
    <w:rsid w:val="00402DE9"/>
    <w:rsid w:val="00402E45"/>
    <w:rsid w:val="00402FF6"/>
    <w:rsid w:val="004033A3"/>
    <w:rsid w:val="004034D1"/>
    <w:rsid w:val="00403BCC"/>
    <w:rsid w:val="004044FD"/>
    <w:rsid w:val="00404758"/>
    <w:rsid w:val="00404760"/>
    <w:rsid w:val="00404769"/>
    <w:rsid w:val="00404913"/>
    <w:rsid w:val="004051B4"/>
    <w:rsid w:val="0040562F"/>
    <w:rsid w:val="00405685"/>
    <w:rsid w:val="004056E7"/>
    <w:rsid w:val="00405B8F"/>
    <w:rsid w:val="00405FF3"/>
    <w:rsid w:val="0040627F"/>
    <w:rsid w:val="004063C9"/>
    <w:rsid w:val="00406D88"/>
    <w:rsid w:val="00406ED9"/>
    <w:rsid w:val="00406F07"/>
    <w:rsid w:val="00407069"/>
    <w:rsid w:val="004072B2"/>
    <w:rsid w:val="00407679"/>
    <w:rsid w:val="004076AC"/>
    <w:rsid w:val="00407757"/>
    <w:rsid w:val="004103D3"/>
    <w:rsid w:val="00410862"/>
    <w:rsid w:val="004109F0"/>
    <w:rsid w:val="00410A73"/>
    <w:rsid w:val="00410AC2"/>
    <w:rsid w:val="00411106"/>
    <w:rsid w:val="0041141D"/>
    <w:rsid w:val="004117A7"/>
    <w:rsid w:val="00411DD2"/>
    <w:rsid w:val="0041202A"/>
    <w:rsid w:val="004120AF"/>
    <w:rsid w:val="0041214E"/>
    <w:rsid w:val="00412209"/>
    <w:rsid w:val="004125CE"/>
    <w:rsid w:val="004127FA"/>
    <w:rsid w:val="00412B77"/>
    <w:rsid w:val="004130B0"/>
    <w:rsid w:val="0041319D"/>
    <w:rsid w:val="0041320B"/>
    <w:rsid w:val="0041345A"/>
    <w:rsid w:val="00413921"/>
    <w:rsid w:val="00413AF3"/>
    <w:rsid w:val="00413EAF"/>
    <w:rsid w:val="00413FB6"/>
    <w:rsid w:val="00413FBD"/>
    <w:rsid w:val="00414272"/>
    <w:rsid w:val="00414475"/>
    <w:rsid w:val="00414A94"/>
    <w:rsid w:val="00414C1E"/>
    <w:rsid w:val="00414D61"/>
    <w:rsid w:val="00414FBA"/>
    <w:rsid w:val="0041513D"/>
    <w:rsid w:val="0041531E"/>
    <w:rsid w:val="004153C4"/>
    <w:rsid w:val="004158F3"/>
    <w:rsid w:val="0041628E"/>
    <w:rsid w:val="004166E5"/>
    <w:rsid w:val="00416BA8"/>
    <w:rsid w:val="00416CA5"/>
    <w:rsid w:val="00416CC4"/>
    <w:rsid w:val="00416CD8"/>
    <w:rsid w:val="00416E16"/>
    <w:rsid w:val="00417063"/>
    <w:rsid w:val="00417220"/>
    <w:rsid w:val="00417549"/>
    <w:rsid w:val="0041765C"/>
    <w:rsid w:val="004177A2"/>
    <w:rsid w:val="00417A5F"/>
    <w:rsid w:val="00417DBC"/>
    <w:rsid w:val="00417E3F"/>
    <w:rsid w:val="00420896"/>
    <w:rsid w:val="004208E7"/>
    <w:rsid w:val="00420967"/>
    <w:rsid w:val="00420999"/>
    <w:rsid w:val="00420D43"/>
    <w:rsid w:val="00420F1A"/>
    <w:rsid w:val="004211E2"/>
    <w:rsid w:val="00421447"/>
    <w:rsid w:val="0042155B"/>
    <w:rsid w:val="00421ADC"/>
    <w:rsid w:val="00421C77"/>
    <w:rsid w:val="00421FB8"/>
    <w:rsid w:val="004224FF"/>
    <w:rsid w:val="00422A5D"/>
    <w:rsid w:val="00423035"/>
    <w:rsid w:val="0042314D"/>
    <w:rsid w:val="00423362"/>
    <w:rsid w:val="004233DE"/>
    <w:rsid w:val="004234D3"/>
    <w:rsid w:val="00423657"/>
    <w:rsid w:val="004236B3"/>
    <w:rsid w:val="00423858"/>
    <w:rsid w:val="004238CE"/>
    <w:rsid w:val="004240BD"/>
    <w:rsid w:val="00424184"/>
    <w:rsid w:val="004241CD"/>
    <w:rsid w:val="00424545"/>
    <w:rsid w:val="00424B45"/>
    <w:rsid w:val="00424E1D"/>
    <w:rsid w:val="0042516F"/>
    <w:rsid w:val="00425209"/>
    <w:rsid w:val="0042584D"/>
    <w:rsid w:val="00425DF2"/>
    <w:rsid w:val="00425F62"/>
    <w:rsid w:val="00425FC6"/>
    <w:rsid w:val="00426160"/>
    <w:rsid w:val="004261BF"/>
    <w:rsid w:val="004268D3"/>
    <w:rsid w:val="00426AF6"/>
    <w:rsid w:val="00426D16"/>
    <w:rsid w:val="00426DB2"/>
    <w:rsid w:val="00426E08"/>
    <w:rsid w:val="00426E6F"/>
    <w:rsid w:val="0042725E"/>
    <w:rsid w:val="004272BE"/>
    <w:rsid w:val="0043091F"/>
    <w:rsid w:val="00430BBB"/>
    <w:rsid w:val="00431329"/>
    <w:rsid w:val="0043199E"/>
    <w:rsid w:val="00431B7B"/>
    <w:rsid w:val="00432704"/>
    <w:rsid w:val="00432970"/>
    <w:rsid w:val="00432BCA"/>
    <w:rsid w:val="00432E96"/>
    <w:rsid w:val="00433068"/>
    <w:rsid w:val="0043315F"/>
    <w:rsid w:val="0043355E"/>
    <w:rsid w:val="00433A3B"/>
    <w:rsid w:val="00433C0A"/>
    <w:rsid w:val="00433DC4"/>
    <w:rsid w:val="00434018"/>
    <w:rsid w:val="00434031"/>
    <w:rsid w:val="0043403C"/>
    <w:rsid w:val="00434195"/>
    <w:rsid w:val="004343BC"/>
    <w:rsid w:val="004346AE"/>
    <w:rsid w:val="0043476F"/>
    <w:rsid w:val="00434921"/>
    <w:rsid w:val="00434BCB"/>
    <w:rsid w:val="00434F5D"/>
    <w:rsid w:val="0043619C"/>
    <w:rsid w:val="00436415"/>
    <w:rsid w:val="00436597"/>
    <w:rsid w:val="00436733"/>
    <w:rsid w:val="00436B4B"/>
    <w:rsid w:val="00436CE3"/>
    <w:rsid w:val="00436F37"/>
    <w:rsid w:val="0043727F"/>
    <w:rsid w:val="004372FF"/>
    <w:rsid w:val="0043753D"/>
    <w:rsid w:val="0043759D"/>
    <w:rsid w:val="00437688"/>
    <w:rsid w:val="004377FD"/>
    <w:rsid w:val="00437B6D"/>
    <w:rsid w:val="00437F3E"/>
    <w:rsid w:val="0044070E"/>
    <w:rsid w:val="00440931"/>
    <w:rsid w:val="00440A1B"/>
    <w:rsid w:val="00440E03"/>
    <w:rsid w:val="00440E5A"/>
    <w:rsid w:val="00440F2E"/>
    <w:rsid w:val="004411C3"/>
    <w:rsid w:val="00441371"/>
    <w:rsid w:val="00441373"/>
    <w:rsid w:val="004413EA"/>
    <w:rsid w:val="00441940"/>
    <w:rsid w:val="00441CD4"/>
    <w:rsid w:val="0044260B"/>
    <w:rsid w:val="00442B53"/>
    <w:rsid w:val="00442B60"/>
    <w:rsid w:val="00442BF0"/>
    <w:rsid w:val="00442C04"/>
    <w:rsid w:val="00442C4F"/>
    <w:rsid w:val="00442C6E"/>
    <w:rsid w:val="00442EC2"/>
    <w:rsid w:val="00442FD0"/>
    <w:rsid w:val="004430CF"/>
    <w:rsid w:val="0044311A"/>
    <w:rsid w:val="004431A3"/>
    <w:rsid w:val="004431A7"/>
    <w:rsid w:val="00443478"/>
    <w:rsid w:val="00443636"/>
    <w:rsid w:val="00443857"/>
    <w:rsid w:val="00443A92"/>
    <w:rsid w:val="00443B24"/>
    <w:rsid w:val="00443B9A"/>
    <w:rsid w:val="00443CFC"/>
    <w:rsid w:val="00443D80"/>
    <w:rsid w:val="00443E27"/>
    <w:rsid w:val="00443F25"/>
    <w:rsid w:val="00443F76"/>
    <w:rsid w:val="0044411F"/>
    <w:rsid w:val="0044415C"/>
    <w:rsid w:val="004444AA"/>
    <w:rsid w:val="004447A9"/>
    <w:rsid w:val="004449D2"/>
    <w:rsid w:val="00444D0E"/>
    <w:rsid w:val="00445152"/>
    <w:rsid w:val="004451ED"/>
    <w:rsid w:val="00445464"/>
    <w:rsid w:val="004456B7"/>
    <w:rsid w:val="00445CDB"/>
    <w:rsid w:val="00445DF3"/>
    <w:rsid w:val="00446536"/>
    <w:rsid w:val="00446635"/>
    <w:rsid w:val="00446903"/>
    <w:rsid w:val="00446DA7"/>
    <w:rsid w:val="004470C4"/>
    <w:rsid w:val="004470DE"/>
    <w:rsid w:val="0044765F"/>
    <w:rsid w:val="00447867"/>
    <w:rsid w:val="004479AA"/>
    <w:rsid w:val="00447AF8"/>
    <w:rsid w:val="00447D20"/>
    <w:rsid w:val="00447E2C"/>
    <w:rsid w:val="00447F23"/>
    <w:rsid w:val="004503E0"/>
    <w:rsid w:val="004503FE"/>
    <w:rsid w:val="00450648"/>
    <w:rsid w:val="00450766"/>
    <w:rsid w:val="00450849"/>
    <w:rsid w:val="004508FB"/>
    <w:rsid w:val="00450AA4"/>
    <w:rsid w:val="00450DE6"/>
    <w:rsid w:val="00450E2D"/>
    <w:rsid w:val="004512A9"/>
    <w:rsid w:val="004513A1"/>
    <w:rsid w:val="0045173D"/>
    <w:rsid w:val="00451C49"/>
    <w:rsid w:val="00451D3D"/>
    <w:rsid w:val="00452774"/>
    <w:rsid w:val="00452959"/>
    <w:rsid w:val="0045326C"/>
    <w:rsid w:val="0045347B"/>
    <w:rsid w:val="00453574"/>
    <w:rsid w:val="004537A8"/>
    <w:rsid w:val="004539DA"/>
    <w:rsid w:val="00453C62"/>
    <w:rsid w:val="00453E45"/>
    <w:rsid w:val="00453EF6"/>
    <w:rsid w:val="004540D5"/>
    <w:rsid w:val="004544EE"/>
    <w:rsid w:val="00454631"/>
    <w:rsid w:val="004546FF"/>
    <w:rsid w:val="00454920"/>
    <w:rsid w:val="00454B54"/>
    <w:rsid w:val="00454CB4"/>
    <w:rsid w:val="00455121"/>
    <w:rsid w:val="00455285"/>
    <w:rsid w:val="004555F7"/>
    <w:rsid w:val="0045582B"/>
    <w:rsid w:val="00455A86"/>
    <w:rsid w:val="00455AED"/>
    <w:rsid w:val="00455BDD"/>
    <w:rsid w:val="00455C14"/>
    <w:rsid w:val="00455D3C"/>
    <w:rsid w:val="004562B4"/>
    <w:rsid w:val="0045659F"/>
    <w:rsid w:val="004567A3"/>
    <w:rsid w:val="00456AF1"/>
    <w:rsid w:val="00456CC6"/>
    <w:rsid w:val="00456E95"/>
    <w:rsid w:val="0045715A"/>
    <w:rsid w:val="004573FB"/>
    <w:rsid w:val="004574AE"/>
    <w:rsid w:val="00457905"/>
    <w:rsid w:val="00460170"/>
    <w:rsid w:val="00460431"/>
    <w:rsid w:val="0046066E"/>
    <w:rsid w:val="004609F3"/>
    <w:rsid w:val="00460D23"/>
    <w:rsid w:val="00460DCE"/>
    <w:rsid w:val="004611D3"/>
    <w:rsid w:val="00461449"/>
    <w:rsid w:val="004614EE"/>
    <w:rsid w:val="0046166C"/>
    <w:rsid w:val="00461688"/>
    <w:rsid w:val="004616B8"/>
    <w:rsid w:val="00461D8D"/>
    <w:rsid w:val="00461EF1"/>
    <w:rsid w:val="00461FF1"/>
    <w:rsid w:val="004620ED"/>
    <w:rsid w:val="0046250D"/>
    <w:rsid w:val="004625FB"/>
    <w:rsid w:val="004626B9"/>
    <w:rsid w:val="0046299F"/>
    <w:rsid w:val="00462C56"/>
    <w:rsid w:val="00462E92"/>
    <w:rsid w:val="00462F69"/>
    <w:rsid w:val="00463086"/>
    <w:rsid w:val="004634E3"/>
    <w:rsid w:val="00463909"/>
    <w:rsid w:val="0046391C"/>
    <w:rsid w:val="00463B13"/>
    <w:rsid w:val="004640C8"/>
    <w:rsid w:val="004643D0"/>
    <w:rsid w:val="004645FB"/>
    <w:rsid w:val="0046471E"/>
    <w:rsid w:val="00464C94"/>
    <w:rsid w:val="00464EB2"/>
    <w:rsid w:val="00464EEF"/>
    <w:rsid w:val="004653A3"/>
    <w:rsid w:val="00465443"/>
    <w:rsid w:val="004657B0"/>
    <w:rsid w:val="00465AE8"/>
    <w:rsid w:val="00465C6A"/>
    <w:rsid w:val="00465CD5"/>
    <w:rsid w:val="00465D10"/>
    <w:rsid w:val="0046622D"/>
    <w:rsid w:val="004663EC"/>
    <w:rsid w:val="0046664F"/>
    <w:rsid w:val="0046681D"/>
    <w:rsid w:val="00466850"/>
    <w:rsid w:val="00466B55"/>
    <w:rsid w:val="00466C47"/>
    <w:rsid w:val="00466E07"/>
    <w:rsid w:val="00466E16"/>
    <w:rsid w:val="00466FDE"/>
    <w:rsid w:val="0046758F"/>
    <w:rsid w:val="0046783B"/>
    <w:rsid w:val="00467905"/>
    <w:rsid w:val="004700F1"/>
    <w:rsid w:val="0047063A"/>
    <w:rsid w:val="00471082"/>
    <w:rsid w:val="0047150A"/>
    <w:rsid w:val="00471768"/>
    <w:rsid w:val="00471C64"/>
    <w:rsid w:val="00471CA9"/>
    <w:rsid w:val="00471CCF"/>
    <w:rsid w:val="00471DA9"/>
    <w:rsid w:val="0047219E"/>
    <w:rsid w:val="0047224E"/>
    <w:rsid w:val="00472387"/>
    <w:rsid w:val="0047247E"/>
    <w:rsid w:val="00472539"/>
    <w:rsid w:val="00473133"/>
    <w:rsid w:val="00473315"/>
    <w:rsid w:val="004733DB"/>
    <w:rsid w:val="00473508"/>
    <w:rsid w:val="00473909"/>
    <w:rsid w:val="00473F3F"/>
    <w:rsid w:val="00474283"/>
    <w:rsid w:val="004743CF"/>
    <w:rsid w:val="00474660"/>
    <w:rsid w:val="0047489E"/>
    <w:rsid w:val="00474CFC"/>
    <w:rsid w:val="00474D03"/>
    <w:rsid w:val="00474EF7"/>
    <w:rsid w:val="00474F5F"/>
    <w:rsid w:val="00475736"/>
    <w:rsid w:val="00475DDA"/>
    <w:rsid w:val="00476196"/>
    <w:rsid w:val="004763DC"/>
    <w:rsid w:val="0047660D"/>
    <w:rsid w:val="004766C7"/>
    <w:rsid w:val="0047684A"/>
    <w:rsid w:val="00476EAA"/>
    <w:rsid w:val="0047761B"/>
    <w:rsid w:val="00477758"/>
    <w:rsid w:val="00477BA8"/>
    <w:rsid w:val="00477F31"/>
    <w:rsid w:val="00477F75"/>
    <w:rsid w:val="004800B1"/>
    <w:rsid w:val="00480141"/>
    <w:rsid w:val="004807B7"/>
    <w:rsid w:val="00480A0B"/>
    <w:rsid w:val="00480B48"/>
    <w:rsid w:val="00480CCE"/>
    <w:rsid w:val="00480D2E"/>
    <w:rsid w:val="00480EBD"/>
    <w:rsid w:val="00480EF0"/>
    <w:rsid w:val="004813B1"/>
    <w:rsid w:val="00481935"/>
    <w:rsid w:val="00481984"/>
    <w:rsid w:val="00481F2F"/>
    <w:rsid w:val="004821CA"/>
    <w:rsid w:val="004823FA"/>
    <w:rsid w:val="004836EC"/>
    <w:rsid w:val="004837D5"/>
    <w:rsid w:val="0048394C"/>
    <w:rsid w:val="00483B5F"/>
    <w:rsid w:val="00483C6A"/>
    <w:rsid w:val="0048406F"/>
    <w:rsid w:val="00484912"/>
    <w:rsid w:val="00484A11"/>
    <w:rsid w:val="00484A76"/>
    <w:rsid w:val="00484BC0"/>
    <w:rsid w:val="00484CBA"/>
    <w:rsid w:val="00484CDE"/>
    <w:rsid w:val="00484DC8"/>
    <w:rsid w:val="0048563A"/>
    <w:rsid w:val="004856DF"/>
    <w:rsid w:val="00485CE3"/>
    <w:rsid w:val="00485CE7"/>
    <w:rsid w:val="00486031"/>
    <w:rsid w:val="00486140"/>
    <w:rsid w:val="004865B5"/>
    <w:rsid w:val="004867E1"/>
    <w:rsid w:val="0048683F"/>
    <w:rsid w:val="004868EA"/>
    <w:rsid w:val="00486C53"/>
    <w:rsid w:val="00486D01"/>
    <w:rsid w:val="00486EB7"/>
    <w:rsid w:val="0048701E"/>
    <w:rsid w:val="004875F9"/>
    <w:rsid w:val="004876FC"/>
    <w:rsid w:val="004877EE"/>
    <w:rsid w:val="00487819"/>
    <w:rsid w:val="00487825"/>
    <w:rsid w:val="004879EA"/>
    <w:rsid w:val="00487A07"/>
    <w:rsid w:val="00487CF7"/>
    <w:rsid w:val="00487D6F"/>
    <w:rsid w:val="00487E19"/>
    <w:rsid w:val="0049011D"/>
    <w:rsid w:val="00490254"/>
    <w:rsid w:val="00490424"/>
    <w:rsid w:val="00490938"/>
    <w:rsid w:val="00490A75"/>
    <w:rsid w:val="00490CF0"/>
    <w:rsid w:val="0049109F"/>
    <w:rsid w:val="0049121F"/>
    <w:rsid w:val="004914B3"/>
    <w:rsid w:val="00491CFA"/>
    <w:rsid w:val="0049209F"/>
    <w:rsid w:val="00492476"/>
    <w:rsid w:val="00493D2F"/>
    <w:rsid w:val="00493DE9"/>
    <w:rsid w:val="00493FD3"/>
    <w:rsid w:val="0049477F"/>
    <w:rsid w:val="004948B0"/>
    <w:rsid w:val="004948D9"/>
    <w:rsid w:val="00494F18"/>
    <w:rsid w:val="004953FE"/>
    <w:rsid w:val="0049545C"/>
    <w:rsid w:val="004954E6"/>
    <w:rsid w:val="00495596"/>
    <w:rsid w:val="004956AF"/>
    <w:rsid w:val="004957B5"/>
    <w:rsid w:val="004959D9"/>
    <w:rsid w:val="00495C03"/>
    <w:rsid w:val="00495D85"/>
    <w:rsid w:val="004965C9"/>
    <w:rsid w:val="00496822"/>
    <w:rsid w:val="00496948"/>
    <w:rsid w:val="00496C61"/>
    <w:rsid w:val="00496CEE"/>
    <w:rsid w:val="00496DB4"/>
    <w:rsid w:val="00496F57"/>
    <w:rsid w:val="00497006"/>
    <w:rsid w:val="00497026"/>
    <w:rsid w:val="00497254"/>
    <w:rsid w:val="00497404"/>
    <w:rsid w:val="0049757D"/>
    <w:rsid w:val="004975A4"/>
    <w:rsid w:val="00497639"/>
    <w:rsid w:val="0049773C"/>
    <w:rsid w:val="0049780B"/>
    <w:rsid w:val="00497BCD"/>
    <w:rsid w:val="004A058C"/>
    <w:rsid w:val="004A09AE"/>
    <w:rsid w:val="004A0D67"/>
    <w:rsid w:val="004A0F9C"/>
    <w:rsid w:val="004A100C"/>
    <w:rsid w:val="004A17D7"/>
    <w:rsid w:val="004A1B8C"/>
    <w:rsid w:val="004A1C9D"/>
    <w:rsid w:val="004A1D09"/>
    <w:rsid w:val="004A1DC0"/>
    <w:rsid w:val="004A1F1C"/>
    <w:rsid w:val="004A204B"/>
    <w:rsid w:val="004A2155"/>
    <w:rsid w:val="004A22C6"/>
    <w:rsid w:val="004A2486"/>
    <w:rsid w:val="004A2621"/>
    <w:rsid w:val="004A29F1"/>
    <w:rsid w:val="004A29FF"/>
    <w:rsid w:val="004A2A07"/>
    <w:rsid w:val="004A2B78"/>
    <w:rsid w:val="004A2C82"/>
    <w:rsid w:val="004A2E1E"/>
    <w:rsid w:val="004A3CA6"/>
    <w:rsid w:val="004A3D32"/>
    <w:rsid w:val="004A417D"/>
    <w:rsid w:val="004A44AE"/>
    <w:rsid w:val="004A4704"/>
    <w:rsid w:val="004A49CD"/>
    <w:rsid w:val="004A5054"/>
    <w:rsid w:val="004A54A5"/>
    <w:rsid w:val="004A5777"/>
    <w:rsid w:val="004A5889"/>
    <w:rsid w:val="004A5982"/>
    <w:rsid w:val="004A5A40"/>
    <w:rsid w:val="004A5C2F"/>
    <w:rsid w:val="004A5D99"/>
    <w:rsid w:val="004A5EE3"/>
    <w:rsid w:val="004A664E"/>
    <w:rsid w:val="004A673B"/>
    <w:rsid w:val="004A6968"/>
    <w:rsid w:val="004A6F0A"/>
    <w:rsid w:val="004A6F9F"/>
    <w:rsid w:val="004A7365"/>
    <w:rsid w:val="004A736B"/>
    <w:rsid w:val="004A7444"/>
    <w:rsid w:val="004A745E"/>
    <w:rsid w:val="004A7477"/>
    <w:rsid w:val="004A7572"/>
    <w:rsid w:val="004A75A6"/>
    <w:rsid w:val="004A7C4A"/>
    <w:rsid w:val="004B01BF"/>
    <w:rsid w:val="004B0355"/>
    <w:rsid w:val="004B063C"/>
    <w:rsid w:val="004B0656"/>
    <w:rsid w:val="004B06EE"/>
    <w:rsid w:val="004B071A"/>
    <w:rsid w:val="004B08E6"/>
    <w:rsid w:val="004B091C"/>
    <w:rsid w:val="004B0F3E"/>
    <w:rsid w:val="004B0FCC"/>
    <w:rsid w:val="004B125F"/>
    <w:rsid w:val="004B142D"/>
    <w:rsid w:val="004B145C"/>
    <w:rsid w:val="004B155C"/>
    <w:rsid w:val="004B1A66"/>
    <w:rsid w:val="004B1B64"/>
    <w:rsid w:val="004B1CAC"/>
    <w:rsid w:val="004B1E8F"/>
    <w:rsid w:val="004B1F71"/>
    <w:rsid w:val="004B2030"/>
    <w:rsid w:val="004B2090"/>
    <w:rsid w:val="004B2143"/>
    <w:rsid w:val="004B2418"/>
    <w:rsid w:val="004B254B"/>
    <w:rsid w:val="004B2659"/>
    <w:rsid w:val="004B280D"/>
    <w:rsid w:val="004B2817"/>
    <w:rsid w:val="004B3423"/>
    <w:rsid w:val="004B34FA"/>
    <w:rsid w:val="004B35BC"/>
    <w:rsid w:val="004B3965"/>
    <w:rsid w:val="004B3D93"/>
    <w:rsid w:val="004B3F28"/>
    <w:rsid w:val="004B40D5"/>
    <w:rsid w:val="004B4AE4"/>
    <w:rsid w:val="004B4B6F"/>
    <w:rsid w:val="004B4D81"/>
    <w:rsid w:val="004B4E2F"/>
    <w:rsid w:val="004B4F59"/>
    <w:rsid w:val="004B4FCD"/>
    <w:rsid w:val="004B4FE6"/>
    <w:rsid w:val="004B51BC"/>
    <w:rsid w:val="004B5522"/>
    <w:rsid w:val="004B56DA"/>
    <w:rsid w:val="004B5E82"/>
    <w:rsid w:val="004B67B9"/>
    <w:rsid w:val="004B6886"/>
    <w:rsid w:val="004B6FEF"/>
    <w:rsid w:val="004B7265"/>
    <w:rsid w:val="004B73F8"/>
    <w:rsid w:val="004B7585"/>
    <w:rsid w:val="004B7E36"/>
    <w:rsid w:val="004B7E3E"/>
    <w:rsid w:val="004C0151"/>
    <w:rsid w:val="004C06D6"/>
    <w:rsid w:val="004C0A0C"/>
    <w:rsid w:val="004C0A58"/>
    <w:rsid w:val="004C0C5F"/>
    <w:rsid w:val="004C0F49"/>
    <w:rsid w:val="004C112C"/>
    <w:rsid w:val="004C1290"/>
    <w:rsid w:val="004C1957"/>
    <w:rsid w:val="004C1963"/>
    <w:rsid w:val="004C199A"/>
    <w:rsid w:val="004C1CAB"/>
    <w:rsid w:val="004C1DDA"/>
    <w:rsid w:val="004C232F"/>
    <w:rsid w:val="004C2676"/>
    <w:rsid w:val="004C37F5"/>
    <w:rsid w:val="004C3F27"/>
    <w:rsid w:val="004C4002"/>
    <w:rsid w:val="004C44B0"/>
    <w:rsid w:val="004C49FF"/>
    <w:rsid w:val="004C4D35"/>
    <w:rsid w:val="004C53E2"/>
    <w:rsid w:val="004C56AF"/>
    <w:rsid w:val="004C587C"/>
    <w:rsid w:val="004C5CC8"/>
    <w:rsid w:val="004C5DB5"/>
    <w:rsid w:val="004C618F"/>
    <w:rsid w:val="004C64C5"/>
    <w:rsid w:val="004C6551"/>
    <w:rsid w:val="004C65C9"/>
    <w:rsid w:val="004C67FB"/>
    <w:rsid w:val="004C6EA7"/>
    <w:rsid w:val="004C6ECD"/>
    <w:rsid w:val="004C6F4D"/>
    <w:rsid w:val="004C71BB"/>
    <w:rsid w:val="004C7572"/>
    <w:rsid w:val="004C7706"/>
    <w:rsid w:val="004C7747"/>
    <w:rsid w:val="004C7CFE"/>
    <w:rsid w:val="004D0021"/>
    <w:rsid w:val="004D04F2"/>
    <w:rsid w:val="004D0552"/>
    <w:rsid w:val="004D0756"/>
    <w:rsid w:val="004D07E2"/>
    <w:rsid w:val="004D0960"/>
    <w:rsid w:val="004D0A11"/>
    <w:rsid w:val="004D0ACC"/>
    <w:rsid w:val="004D0F12"/>
    <w:rsid w:val="004D1000"/>
    <w:rsid w:val="004D1103"/>
    <w:rsid w:val="004D11C2"/>
    <w:rsid w:val="004D144B"/>
    <w:rsid w:val="004D1699"/>
    <w:rsid w:val="004D1A34"/>
    <w:rsid w:val="004D1CAA"/>
    <w:rsid w:val="004D24B9"/>
    <w:rsid w:val="004D25F9"/>
    <w:rsid w:val="004D26A8"/>
    <w:rsid w:val="004D2F04"/>
    <w:rsid w:val="004D348F"/>
    <w:rsid w:val="004D35B8"/>
    <w:rsid w:val="004D386A"/>
    <w:rsid w:val="004D396B"/>
    <w:rsid w:val="004D3BCD"/>
    <w:rsid w:val="004D3F3A"/>
    <w:rsid w:val="004D3FCA"/>
    <w:rsid w:val="004D4013"/>
    <w:rsid w:val="004D4130"/>
    <w:rsid w:val="004D43B7"/>
    <w:rsid w:val="004D4617"/>
    <w:rsid w:val="004D494E"/>
    <w:rsid w:val="004D52E9"/>
    <w:rsid w:val="004D5384"/>
    <w:rsid w:val="004D553B"/>
    <w:rsid w:val="004D563F"/>
    <w:rsid w:val="004D59CA"/>
    <w:rsid w:val="004D5A79"/>
    <w:rsid w:val="004D5ED6"/>
    <w:rsid w:val="004D63D5"/>
    <w:rsid w:val="004D6471"/>
    <w:rsid w:val="004D64D8"/>
    <w:rsid w:val="004D65B2"/>
    <w:rsid w:val="004D69DC"/>
    <w:rsid w:val="004D6A9E"/>
    <w:rsid w:val="004D6C1F"/>
    <w:rsid w:val="004D7113"/>
    <w:rsid w:val="004D714E"/>
    <w:rsid w:val="004D725E"/>
    <w:rsid w:val="004D7326"/>
    <w:rsid w:val="004D7372"/>
    <w:rsid w:val="004D75D2"/>
    <w:rsid w:val="004D77F4"/>
    <w:rsid w:val="004D77F6"/>
    <w:rsid w:val="004D7A40"/>
    <w:rsid w:val="004D7AA1"/>
    <w:rsid w:val="004E00AB"/>
    <w:rsid w:val="004E00AC"/>
    <w:rsid w:val="004E0539"/>
    <w:rsid w:val="004E0803"/>
    <w:rsid w:val="004E08C7"/>
    <w:rsid w:val="004E1240"/>
    <w:rsid w:val="004E1CBA"/>
    <w:rsid w:val="004E2012"/>
    <w:rsid w:val="004E210B"/>
    <w:rsid w:val="004E2221"/>
    <w:rsid w:val="004E2662"/>
    <w:rsid w:val="004E29DD"/>
    <w:rsid w:val="004E29EA"/>
    <w:rsid w:val="004E3763"/>
    <w:rsid w:val="004E3BE5"/>
    <w:rsid w:val="004E4669"/>
    <w:rsid w:val="004E4873"/>
    <w:rsid w:val="004E4A43"/>
    <w:rsid w:val="004E4A61"/>
    <w:rsid w:val="004E51D6"/>
    <w:rsid w:val="004E534C"/>
    <w:rsid w:val="004E5400"/>
    <w:rsid w:val="004E59C4"/>
    <w:rsid w:val="004E6689"/>
    <w:rsid w:val="004E68E4"/>
    <w:rsid w:val="004E69D3"/>
    <w:rsid w:val="004E6C45"/>
    <w:rsid w:val="004E6D0F"/>
    <w:rsid w:val="004E7051"/>
    <w:rsid w:val="004E789B"/>
    <w:rsid w:val="004E790B"/>
    <w:rsid w:val="004E7D09"/>
    <w:rsid w:val="004F0531"/>
    <w:rsid w:val="004F05A0"/>
    <w:rsid w:val="004F0699"/>
    <w:rsid w:val="004F09E6"/>
    <w:rsid w:val="004F0BF7"/>
    <w:rsid w:val="004F0C84"/>
    <w:rsid w:val="004F0DD5"/>
    <w:rsid w:val="004F0F51"/>
    <w:rsid w:val="004F0F98"/>
    <w:rsid w:val="004F15A7"/>
    <w:rsid w:val="004F16BA"/>
    <w:rsid w:val="004F18CB"/>
    <w:rsid w:val="004F194A"/>
    <w:rsid w:val="004F1C23"/>
    <w:rsid w:val="004F22C9"/>
    <w:rsid w:val="004F2AF8"/>
    <w:rsid w:val="004F2AF9"/>
    <w:rsid w:val="004F2D87"/>
    <w:rsid w:val="004F2E7C"/>
    <w:rsid w:val="004F2F5A"/>
    <w:rsid w:val="004F32D4"/>
    <w:rsid w:val="004F369E"/>
    <w:rsid w:val="004F36A4"/>
    <w:rsid w:val="004F3AD9"/>
    <w:rsid w:val="004F3CC5"/>
    <w:rsid w:val="004F3FD9"/>
    <w:rsid w:val="004F421C"/>
    <w:rsid w:val="004F4587"/>
    <w:rsid w:val="004F500C"/>
    <w:rsid w:val="004F5666"/>
    <w:rsid w:val="004F570E"/>
    <w:rsid w:val="004F571F"/>
    <w:rsid w:val="004F5854"/>
    <w:rsid w:val="004F5951"/>
    <w:rsid w:val="004F5997"/>
    <w:rsid w:val="004F5B9D"/>
    <w:rsid w:val="004F5C61"/>
    <w:rsid w:val="004F5F59"/>
    <w:rsid w:val="004F60DD"/>
    <w:rsid w:val="004F621A"/>
    <w:rsid w:val="004F6413"/>
    <w:rsid w:val="004F648B"/>
    <w:rsid w:val="004F661C"/>
    <w:rsid w:val="004F673C"/>
    <w:rsid w:val="004F6796"/>
    <w:rsid w:val="004F69E4"/>
    <w:rsid w:val="004F6F2D"/>
    <w:rsid w:val="004F71CE"/>
    <w:rsid w:val="004F7556"/>
    <w:rsid w:val="004F7CB1"/>
    <w:rsid w:val="005001C6"/>
    <w:rsid w:val="0050028A"/>
    <w:rsid w:val="00500707"/>
    <w:rsid w:val="00500B04"/>
    <w:rsid w:val="005013B8"/>
    <w:rsid w:val="00501907"/>
    <w:rsid w:val="0050190F"/>
    <w:rsid w:val="00501AC7"/>
    <w:rsid w:val="0050208D"/>
    <w:rsid w:val="005020CE"/>
    <w:rsid w:val="00502179"/>
    <w:rsid w:val="005024E7"/>
    <w:rsid w:val="00502B83"/>
    <w:rsid w:val="00502F45"/>
    <w:rsid w:val="00502F67"/>
    <w:rsid w:val="00502F94"/>
    <w:rsid w:val="00503508"/>
    <w:rsid w:val="0050360D"/>
    <w:rsid w:val="005040D9"/>
    <w:rsid w:val="005042DA"/>
    <w:rsid w:val="005043BC"/>
    <w:rsid w:val="00504B30"/>
    <w:rsid w:val="00504BA5"/>
    <w:rsid w:val="00505025"/>
    <w:rsid w:val="0050524F"/>
    <w:rsid w:val="0050527D"/>
    <w:rsid w:val="005055CA"/>
    <w:rsid w:val="005055EF"/>
    <w:rsid w:val="00505ABA"/>
    <w:rsid w:val="00505C72"/>
    <w:rsid w:val="00505CC9"/>
    <w:rsid w:val="00505D6B"/>
    <w:rsid w:val="00506523"/>
    <w:rsid w:val="005065B3"/>
    <w:rsid w:val="00506AA0"/>
    <w:rsid w:val="00506AFB"/>
    <w:rsid w:val="00506B61"/>
    <w:rsid w:val="00506CE9"/>
    <w:rsid w:val="00507326"/>
    <w:rsid w:val="00507520"/>
    <w:rsid w:val="00507615"/>
    <w:rsid w:val="00507E2A"/>
    <w:rsid w:val="005107BC"/>
    <w:rsid w:val="00510881"/>
    <w:rsid w:val="00510CA9"/>
    <w:rsid w:val="00511393"/>
    <w:rsid w:val="005113CE"/>
    <w:rsid w:val="005119A1"/>
    <w:rsid w:val="00511C1A"/>
    <w:rsid w:val="00511C8E"/>
    <w:rsid w:val="00511D9E"/>
    <w:rsid w:val="00512470"/>
    <w:rsid w:val="0051256C"/>
    <w:rsid w:val="00512617"/>
    <w:rsid w:val="005126E1"/>
    <w:rsid w:val="00512A3E"/>
    <w:rsid w:val="00512F29"/>
    <w:rsid w:val="0051341E"/>
    <w:rsid w:val="00513551"/>
    <w:rsid w:val="00513585"/>
    <w:rsid w:val="005136DA"/>
    <w:rsid w:val="005137CF"/>
    <w:rsid w:val="0051387B"/>
    <w:rsid w:val="00513FCE"/>
    <w:rsid w:val="0051406A"/>
    <w:rsid w:val="00514841"/>
    <w:rsid w:val="005148C5"/>
    <w:rsid w:val="00514F47"/>
    <w:rsid w:val="00515095"/>
    <w:rsid w:val="005151D9"/>
    <w:rsid w:val="00515424"/>
    <w:rsid w:val="0051552A"/>
    <w:rsid w:val="005155D0"/>
    <w:rsid w:val="00515B17"/>
    <w:rsid w:val="00515F12"/>
    <w:rsid w:val="00515FF6"/>
    <w:rsid w:val="0051612C"/>
    <w:rsid w:val="0051629A"/>
    <w:rsid w:val="005162AC"/>
    <w:rsid w:val="005165BF"/>
    <w:rsid w:val="00516871"/>
    <w:rsid w:val="00516A44"/>
    <w:rsid w:val="00516B5D"/>
    <w:rsid w:val="00516E1A"/>
    <w:rsid w:val="00516F61"/>
    <w:rsid w:val="00517134"/>
    <w:rsid w:val="00517468"/>
    <w:rsid w:val="0051776B"/>
    <w:rsid w:val="00517A80"/>
    <w:rsid w:val="00517ED5"/>
    <w:rsid w:val="00517F11"/>
    <w:rsid w:val="00517FE3"/>
    <w:rsid w:val="00520505"/>
    <w:rsid w:val="00520583"/>
    <w:rsid w:val="005206C3"/>
    <w:rsid w:val="005208D7"/>
    <w:rsid w:val="00520CD5"/>
    <w:rsid w:val="00520E37"/>
    <w:rsid w:val="00521054"/>
    <w:rsid w:val="0052121A"/>
    <w:rsid w:val="005216CE"/>
    <w:rsid w:val="005218A5"/>
    <w:rsid w:val="005219BE"/>
    <w:rsid w:val="00521DEE"/>
    <w:rsid w:val="00521E43"/>
    <w:rsid w:val="00522217"/>
    <w:rsid w:val="005223C7"/>
    <w:rsid w:val="00522699"/>
    <w:rsid w:val="00522E3E"/>
    <w:rsid w:val="00523155"/>
    <w:rsid w:val="0052338D"/>
    <w:rsid w:val="005233EC"/>
    <w:rsid w:val="0052350A"/>
    <w:rsid w:val="00523763"/>
    <w:rsid w:val="0052381F"/>
    <w:rsid w:val="00523BA4"/>
    <w:rsid w:val="00523E06"/>
    <w:rsid w:val="0052436F"/>
    <w:rsid w:val="005244F8"/>
    <w:rsid w:val="0052477D"/>
    <w:rsid w:val="00524925"/>
    <w:rsid w:val="00524E54"/>
    <w:rsid w:val="005252BB"/>
    <w:rsid w:val="00525ADE"/>
    <w:rsid w:val="00525DA5"/>
    <w:rsid w:val="00525DE1"/>
    <w:rsid w:val="00525E52"/>
    <w:rsid w:val="00526249"/>
    <w:rsid w:val="00526547"/>
    <w:rsid w:val="00526560"/>
    <w:rsid w:val="00526680"/>
    <w:rsid w:val="005266C0"/>
    <w:rsid w:val="00526C46"/>
    <w:rsid w:val="00526C80"/>
    <w:rsid w:val="00526CB5"/>
    <w:rsid w:val="00526EC1"/>
    <w:rsid w:val="0052706D"/>
    <w:rsid w:val="0052708E"/>
    <w:rsid w:val="005273CF"/>
    <w:rsid w:val="0052745A"/>
    <w:rsid w:val="0052754D"/>
    <w:rsid w:val="0052755C"/>
    <w:rsid w:val="0052756D"/>
    <w:rsid w:val="00527C1C"/>
    <w:rsid w:val="00527CB3"/>
    <w:rsid w:val="00527F15"/>
    <w:rsid w:val="0053051A"/>
    <w:rsid w:val="00530AC8"/>
    <w:rsid w:val="00530B57"/>
    <w:rsid w:val="00530B87"/>
    <w:rsid w:val="00530C9B"/>
    <w:rsid w:val="0053110B"/>
    <w:rsid w:val="00531AC8"/>
    <w:rsid w:val="00531BA3"/>
    <w:rsid w:val="00531CEF"/>
    <w:rsid w:val="00531FB8"/>
    <w:rsid w:val="00532259"/>
    <w:rsid w:val="00532644"/>
    <w:rsid w:val="00532665"/>
    <w:rsid w:val="00532900"/>
    <w:rsid w:val="00532A9B"/>
    <w:rsid w:val="00532B02"/>
    <w:rsid w:val="00532E87"/>
    <w:rsid w:val="00532EB1"/>
    <w:rsid w:val="00532EC1"/>
    <w:rsid w:val="005333BB"/>
    <w:rsid w:val="00533690"/>
    <w:rsid w:val="00533730"/>
    <w:rsid w:val="005338B4"/>
    <w:rsid w:val="00533A3E"/>
    <w:rsid w:val="00533B26"/>
    <w:rsid w:val="00533D1A"/>
    <w:rsid w:val="00533D2A"/>
    <w:rsid w:val="00533E60"/>
    <w:rsid w:val="00533ED3"/>
    <w:rsid w:val="0053428D"/>
    <w:rsid w:val="005343B8"/>
    <w:rsid w:val="00534B60"/>
    <w:rsid w:val="00534B73"/>
    <w:rsid w:val="00534C6F"/>
    <w:rsid w:val="0053509A"/>
    <w:rsid w:val="00535103"/>
    <w:rsid w:val="00535317"/>
    <w:rsid w:val="005354C2"/>
    <w:rsid w:val="0053557A"/>
    <w:rsid w:val="0053563D"/>
    <w:rsid w:val="00535698"/>
    <w:rsid w:val="00535B0D"/>
    <w:rsid w:val="00535EA6"/>
    <w:rsid w:val="00535F71"/>
    <w:rsid w:val="005360A2"/>
    <w:rsid w:val="00536175"/>
    <w:rsid w:val="005364A5"/>
    <w:rsid w:val="0053696A"/>
    <w:rsid w:val="0053699C"/>
    <w:rsid w:val="00536C5D"/>
    <w:rsid w:val="00536F82"/>
    <w:rsid w:val="00536F9E"/>
    <w:rsid w:val="00537163"/>
    <w:rsid w:val="0053717C"/>
    <w:rsid w:val="005371DC"/>
    <w:rsid w:val="005371EE"/>
    <w:rsid w:val="005375D5"/>
    <w:rsid w:val="00537899"/>
    <w:rsid w:val="00537992"/>
    <w:rsid w:val="00540184"/>
    <w:rsid w:val="00540469"/>
    <w:rsid w:val="00540BBF"/>
    <w:rsid w:val="00540E35"/>
    <w:rsid w:val="00540E7F"/>
    <w:rsid w:val="00541369"/>
    <w:rsid w:val="005418C4"/>
    <w:rsid w:val="00541ACC"/>
    <w:rsid w:val="00541B99"/>
    <w:rsid w:val="00542018"/>
    <w:rsid w:val="0054204C"/>
    <w:rsid w:val="00542381"/>
    <w:rsid w:val="005423B1"/>
    <w:rsid w:val="005426ED"/>
    <w:rsid w:val="0054299E"/>
    <w:rsid w:val="005429C3"/>
    <w:rsid w:val="00542B82"/>
    <w:rsid w:val="00542C06"/>
    <w:rsid w:val="00542C4C"/>
    <w:rsid w:val="00542DBA"/>
    <w:rsid w:val="00542F00"/>
    <w:rsid w:val="0054370E"/>
    <w:rsid w:val="005437D3"/>
    <w:rsid w:val="00543810"/>
    <w:rsid w:val="005439AA"/>
    <w:rsid w:val="00543EA6"/>
    <w:rsid w:val="00544559"/>
    <w:rsid w:val="00544907"/>
    <w:rsid w:val="00544CCA"/>
    <w:rsid w:val="005450D1"/>
    <w:rsid w:val="00545177"/>
    <w:rsid w:val="005452D0"/>
    <w:rsid w:val="005455BD"/>
    <w:rsid w:val="0054567F"/>
    <w:rsid w:val="005456B8"/>
    <w:rsid w:val="00545BAC"/>
    <w:rsid w:val="00545D78"/>
    <w:rsid w:val="00545DED"/>
    <w:rsid w:val="00546424"/>
    <w:rsid w:val="00546465"/>
    <w:rsid w:val="005464B0"/>
    <w:rsid w:val="00546704"/>
    <w:rsid w:val="0054673A"/>
    <w:rsid w:val="0054697E"/>
    <w:rsid w:val="00546C2A"/>
    <w:rsid w:val="00546D27"/>
    <w:rsid w:val="00546D4D"/>
    <w:rsid w:val="00546E45"/>
    <w:rsid w:val="005472B8"/>
    <w:rsid w:val="005476BD"/>
    <w:rsid w:val="00547CE7"/>
    <w:rsid w:val="00547E0D"/>
    <w:rsid w:val="00547F6F"/>
    <w:rsid w:val="00550060"/>
    <w:rsid w:val="005500FC"/>
    <w:rsid w:val="0055025D"/>
    <w:rsid w:val="005502C4"/>
    <w:rsid w:val="0055057F"/>
    <w:rsid w:val="00550A4B"/>
    <w:rsid w:val="00550A7D"/>
    <w:rsid w:val="00550B65"/>
    <w:rsid w:val="00550CAF"/>
    <w:rsid w:val="00550F69"/>
    <w:rsid w:val="00551139"/>
    <w:rsid w:val="0055129E"/>
    <w:rsid w:val="00551374"/>
    <w:rsid w:val="0055157F"/>
    <w:rsid w:val="00551900"/>
    <w:rsid w:val="00551B6F"/>
    <w:rsid w:val="00551E91"/>
    <w:rsid w:val="00552174"/>
    <w:rsid w:val="00552885"/>
    <w:rsid w:val="005529F3"/>
    <w:rsid w:val="00552B7C"/>
    <w:rsid w:val="00552FD4"/>
    <w:rsid w:val="00553035"/>
    <w:rsid w:val="00553080"/>
    <w:rsid w:val="005534ED"/>
    <w:rsid w:val="00553593"/>
    <w:rsid w:val="00553E4E"/>
    <w:rsid w:val="00553EB9"/>
    <w:rsid w:val="005542BB"/>
    <w:rsid w:val="005544CF"/>
    <w:rsid w:val="00554A0B"/>
    <w:rsid w:val="00554BDD"/>
    <w:rsid w:val="005550C0"/>
    <w:rsid w:val="0055517A"/>
    <w:rsid w:val="00555498"/>
    <w:rsid w:val="005557B5"/>
    <w:rsid w:val="00555CAC"/>
    <w:rsid w:val="00555E8C"/>
    <w:rsid w:val="005562E6"/>
    <w:rsid w:val="005564DB"/>
    <w:rsid w:val="005566B1"/>
    <w:rsid w:val="00556C22"/>
    <w:rsid w:val="00556D69"/>
    <w:rsid w:val="005578DC"/>
    <w:rsid w:val="00557D0A"/>
    <w:rsid w:val="00557DE0"/>
    <w:rsid w:val="00560B1A"/>
    <w:rsid w:val="005611CB"/>
    <w:rsid w:val="005615CC"/>
    <w:rsid w:val="0056195C"/>
    <w:rsid w:val="0056231A"/>
    <w:rsid w:val="00562416"/>
    <w:rsid w:val="0056281D"/>
    <w:rsid w:val="00562A97"/>
    <w:rsid w:val="005634BF"/>
    <w:rsid w:val="00563581"/>
    <w:rsid w:val="00563722"/>
    <w:rsid w:val="00563BD0"/>
    <w:rsid w:val="00563E02"/>
    <w:rsid w:val="005642C7"/>
    <w:rsid w:val="00564B0E"/>
    <w:rsid w:val="00565037"/>
    <w:rsid w:val="00565B2D"/>
    <w:rsid w:val="00565C36"/>
    <w:rsid w:val="00565C4F"/>
    <w:rsid w:val="00565EAD"/>
    <w:rsid w:val="00566201"/>
    <w:rsid w:val="005664F0"/>
    <w:rsid w:val="0056696D"/>
    <w:rsid w:val="00566ACA"/>
    <w:rsid w:val="00566CC7"/>
    <w:rsid w:val="00566D52"/>
    <w:rsid w:val="00567028"/>
    <w:rsid w:val="005671A6"/>
    <w:rsid w:val="00567A6B"/>
    <w:rsid w:val="00567FBE"/>
    <w:rsid w:val="00567FFB"/>
    <w:rsid w:val="0057049E"/>
    <w:rsid w:val="0057054E"/>
    <w:rsid w:val="005714C5"/>
    <w:rsid w:val="00571505"/>
    <w:rsid w:val="00571826"/>
    <w:rsid w:val="00571FE4"/>
    <w:rsid w:val="005720D8"/>
    <w:rsid w:val="005720E3"/>
    <w:rsid w:val="0057227F"/>
    <w:rsid w:val="005724AB"/>
    <w:rsid w:val="005728BB"/>
    <w:rsid w:val="005728C9"/>
    <w:rsid w:val="00572AB4"/>
    <w:rsid w:val="00572BBF"/>
    <w:rsid w:val="00572BE5"/>
    <w:rsid w:val="00572F8D"/>
    <w:rsid w:val="00573166"/>
    <w:rsid w:val="00573271"/>
    <w:rsid w:val="0057343B"/>
    <w:rsid w:val="00573DFF"/>
    <w:rsid w:val="0057438E"/>
    <w:rsid w:val="00574AB0"/>
    <w:rsid w:val="00574CBB"/>
    <w:rsid w:val="005753F1"/>
    <w:rsid w:val="0057594F"/>
    <w:rsid w:val="00575A89"/>
    <w:rsid w:val="00575DA5"/>
    <w:rsid w:val="00575DA7"/>
    <w:rsid w:val="00575F96"/>
    <w:rsid w:val="00575FE8"/>
    <w:rsid w:val="005760F4"/>
    <w:rsid w:val="00576A94"/>
    <w:rsid w:val="00576D9B"/>
    <w:rsid w:val="00577208"/>
    <w:rsid w:val="0057751E"/>
    <w:rsid w:val="00577869"/>
    <w:rsid w:val="00577AE6"/>
    <w:rsid w:val="00577AF4"/>
    <w:rsid w:val="00577C14"/>
    <w:rsid w:val="00577C5B"/>
    <w:rsid w:val="00577D2A"/>
    <w:rsid w:val="00577D59"/>
    <w:rsid w:val="00580067"/>
    <w:rsid w:val="005803C3"/>
    <w:rsid w:val="0058059C"/>
    <w:rsid w:val="00580CDE"/>
    <w:rsid w:val="00581056"/>
    <w:rsid w:val="0058125F"/>
    <w:rsid w:val="005812C8"/>
    <w:rsid w:val="0058148D"/>
    <w:rsid w:val="00581583"/>
    <w:rsid w:val="005818DC"/>
    <w:rsid w:val="00581D21"/>
    <w:rsid w:val="00581DBB"/>
    <w:rsid w:val="0058229C"/>
    <w:rsid w:val="0058236A"/>
    <w:rsid w:val="005827CA"/>
    <w:rsid w:val="00582B97"/>
    <w:rsid w:val="00582D9B"/>
    <w:rsid w:val="00582DFA"/>
    <w:rsid w:val="00583581"/>
    <w:rsid w:val="005837D2"/>
    <w:rsid w:val="005838C7"/>
    <w:rsid w:val="005838E6"/>
    <w:rsid w:val="00583B69"/>
    <w:rsid w:val="00583CAE"/>
    <w:rsid w:val="00583D91"/>
    <w:rsid w:val="00584088"/>
    <w:rsid w:val="0058420D"/>
    <w:rsid w:val="005844D5"/>
    <w:rsid w:val="00584730"/>
    <w:rsid w:val="005848FC"/>
    <w:rsid w:val="00585359"/>
    <w:rsid w:val="00585443"/>
    <w:rsid w:val="0058548E"/>
    <w:rsid w:val="005858DD"/>
    <w:rsid w:val="0058590F"/>
    <w:rsid w:val="00585A34"/>
    <w:rsid w:val="00585A53"/>
    <w:rsid w:val="00585BB1"/>
    <w:rsid w:val="00585FE6"/>
    <w:rsid w:val="0058601B"/>
    <w:rsid w:val="005866CC"/>
    <w:rsid w:val="00586ABD"/>
    <w:rsid w:val="00586D73"/>
    <w:rsid w:val="0058715B"/>
    <w:rsid w:val="005874CD"/>
    <w:rsid w:val="00587ED4"/>
    <w:rsid w:val="00587F8F"/>
    <w:rsid w:val="0059015B"/>
    <w:rsid w:val="005902EC"/>
    <w:rsid w:val="005903BA"/>
    <w:rsid w:val="00590473"/>
    <w:rsid w:val="00590660"/>
    <w:rsid w:val="00590F4D"/>
    <w:rsid w:val="00591143"/>
    <w:rsid w:val="00591263"/>
    <w:rsid w:val="005913AF"/>
    <w:rsid w:val="005913D9"/>
    <w:rsid w:val="00591486"/>
    <w:rsid w:val="00591490"/>
    <w:rsid w:val="00591B3C"/>
    <w:rsid w:val="00591CB0"/>
    <w:rsid w:val="00591DB2"/>
    <w:rsid w:val="005920D6"/>
    <w:rsid w:val="005921AE"/>
    <w:rsid w:val="005921E3"/>
    <w:rsid w:val="0059246C"/>
    <w:rsid w:val="005924B3"/>
    <w:rsid w:val="0059257E"/>
    <w:rsid w:val="0059265C"/>
    <w:rsid w:val="0059275F"/>
    <w:rsid w:val="0059290A"/>
    <w:rsid w:val="00592A8D"/>
    <w:rsid w:val="00593216"/>
    <w:rsid w:val="0059364B"/>
    <w:rsid w:val="005936A1"/>
    <w:rsid w:val="0059370E"/>
    <w:rsid w:val="0059373A"/>
    <w:rsid w:val="005937FD"/>
    <w:rsid w:val="00593843"/>
    <w:rsid w:val="005939CB"/>
    <w:rsid w:val="00593AB3"/>
    <w:rsid w:val="005944DE"/>
    <w:rsid w:val="005944FA"/>
    <w:rsid w:val="0059452A"/>
    <w:rsid w:val="00594638"/>
    <w:rsid w:val="005946A9"/>
    <w:rsid w:val="005948E3"/>
    <w:rsid w:val="005949A4"/>
    <w:rsid w:val="00594A2B"/>
    <w:rsid w:val="00594B41"/>
    <w:rsid w:val="0059566B"/>
    <w:rsid w:val="0059590F"/>
    <w:rsid w:val="00595CDA"/>
    <w:rsid w:val="00595F76"/>
    <w:rsid w:val="00595F8F"/>
    <w:rsid w:val="005960D3"/>
    <w:rsid w:val="00596427"/>
    <w:rsid w:val="005965E0"/>
    <w:rsid w:val="0059674A"/>
    <w:rsid w:val="005968A4"/>
    <w:rsid w:val="00596BDE"/>
    <w:rsid w:val="00596E6A"/>
    <w:rsid w:val="005971AE"/>
    <w:rsid w:val="00597288"/>
    <w:rsid w:val="0059786E"/>
    <w:rsid w:val="00597953"/>
    <w:rsid w:val="00597C70"/>
    <w:rsid w:val="00597DC5"/>
    <w:rsid w:val="005A03CC"/>
    <w:rsid w:val="005A07F8"/>
    <w:rsid w:val="005A0A14"/>
    <w:rsid w:val="005A0A3E"/>
    <w:rsid w:val="005A0B17"/>
    <w:rsid w:val="005A0B6D"/>
    <w:rsid w:val="005A100E"/>
    <w:rsid w:val="005A10D7"/>
    <w:rsid w:val="005A13EA"/>
    <w:rsid w:val="005A1926"/>
    <w:rsid w:val="005A19B3"/>
    <w:rsid w:val="005A1A9B"/>
    <w:rsid w:val="005A1AB9"/>
    <w:rsid w:val="005A1C3E"/>
    <w:rsid w:val="005A1D40"/>
    <w:rsid w:val="005A205A"/>
    <w:rsid w:val="005A22A3"/>
    <w:rsid w:val="005A2865"/>
    <w:rsid w:val="005A2ABE"/>
    <w:rsid w:val="005A2AE0"/>
    <w:rsid w:val="005A2C09"/>
    <w:rsid w:val="005A2FC1"/>
    <w:rsid w:val="005A305B"/>
    <w:rsid w:val="005A3127"/>
    <w:rsid w:val="005A32F9"/>
    <w:rsid w:val="005A3304"/>
    <w:rsid w:val="005A3440"/>
    <w:rsid w:val="005A35A7"/>
    <w:rsid w:val="005A37DE"/>
    <w:rsid w:val="005A3B10"/>
    <w:rsid w:val="005A3C6E"/>
    <w:rsid w:val="005A3EDE"/>
    <w:rsid w:val="005A4066"/>
    <w:rsid w:val="005A41A9"/>
    <w:rsid w:val="005A43A4"/>
    <w:rsid w:val="005A4789"/>
    <w:rsid w:val="005A4875"/>
    <w:rsid w:val="005A4D12"/>
    <w:rsid w:val="005A4FB2"/>
    <w:rsid w:val="005A5052"/>
    <w:rsid w:val="005A5158"/>
    <w:rsid w:val="005A52C1"/>
    <w:rsid w:val="005A557E"/>
    <w:rsid w:val="005A596B"/>
    <w:rsid w:val="005A5FF3"/>
    <w:rsid w:val="005A6188"/>
    <w:rsid w:val="005A61AE"/>
    <w:rsid w:val="005A61F8"/>
    <w:rsid w:val="005A64D6"/>
    <w:rsid w:val="005A657D"/>
    <w:rsid w:val="005A6780"/>
    <w:rsid w:val="005A6BE3"/>
    <w:rsid w:val="005A6F5F"/>
    <w:rsid w:val="005A6F6F"/>
    <w:rsid w:val="005A7BED"/>
    <w:rsid w:val="005A7EFB"/>
    <w:rsid w:val="005B0450"/>
    <w:rsid w:val="005B0B41"/>
    <w:rsid w:val="005B0C15"/>
    <w:rsid w:val="005B117D"/>
    <w:rsid w:val="005B1449"/>
    <w:rsid w:val="005B144F"/>
    <w:rsid w:val="005B146F"/>
    <w:rsid w:val="005B1A73"/>
    <w:rsid w:val="005B1BC8"/>
    <w:rsid w:val="005B1C17"/>
    <w:rsid w:val="005B1CF6"/>
    <w:rsid w:val="005B1DCD"/>
    <w:rsid w:val="005B253A"/>
    <w:rsid w:val="005B2714"/>
    <w:rsid w:val="005B274E"/>
    <w:rsid w:val="005B2D9C"/>
    <w:rsid w:val="005B2F30"/>
    <w:rsid w:val="005B2FAC"/>
    <w:rsid w:val="005B3010"/>
    <w:rsid w:val="005B393D"/>
    <w:rsid w:val="005B3CC6"/>
    <w:rsid w:val="005B3D02"/>
    <w:rsid w:val="005B3D19"/>
    <w:rsid w:val="005B3E2E"/>
    <w:rsid w:val="005B3EA6"/>
    <w:rsid w:val="005B4339"/>
    <w:rsid w:val="005B4886"/>
    <w:rsid w:val="005B4E40"/>
    <w:rsid w:val="005B4E45"/>
    <w:rsid w:val="005B50B6"/>
    <w:rsid w:val="005B570C"/>
    <w:rsid w:val="005B5862"/>
    <w:rsid w:val="005B59A9"/>
    <w:rsid w:val="005B5C98"/>
    <w:rsid w:val="005B5F59"/>
    <w:rsid w:val="005B6042"/>
    <w:rsid w:val="005B6214"/>
    <w:rsid w:val="005B62B2"/>
    <w:rsid w:val="005B6A1B"/>
    <w:rsid w:val="005B6D61"/>
    <w:rsid w:val="005B6E23"/>
    <w:rsid w:val="005B702B"/>
    <w:rsid w:val="005B726B"/>
    <w:rsid w:val="005B7349"/>
    <w:rsid w:val="005B757E"/>
    <w:rsid w:val="005B7649"/>
    <w:rsid w:val="005B766F"/>
    <w:rsid w:val="005B76E0"/>
    <w:rsid w:val="005B77CB"/>
    <w:rsid w:val="005B7B5F"/>
    <w:rsid w:val="005C0062"/>
    <w:rsid w:val="005C00EA"/>
    <w:rsid w:val="005C010B"/>
    <w:rsid w:val="005C03C6"/>
    <w:rsid w:val="005C05AF"/>
    <w:rsid w:val="005C097E"/>
    <w:rsid w:val="005C0C46"/>
    <w:rsid w:val="005C0EDB"/>
    <w:rsid w:val="005C14BE"/>
    <w:rsid w:val="005C1985"/>
    <w:rsid w:val="005C1C8F"/>
    <w:rsid w:val="005C1FAD"/>
    <w:rsid w:val="005C220D"/>
    <w:rsid w:val="005C22BF"/>
    <w:rsid w:val="005C25FD"/>
    <w:rsid w:val="005C2917"/>
    <w:rsid w:val="005C2990"/>
    <w:rsid w:val="005C2A5E"/>
    <w:rsid w:val="005C3058"/>
    <w:rsid w:val="005C30A7"/>
    <w:rsid w:val="005C3B7F"/>
    <w:rsid w:val="005C3C87"/>
    <w:rsid w:val="005C3EF1"/>
    <w:rsid w:val="005C4188"/>
    <w:rsid w:val="005C4230"/>
    <w:rsid w:val="005C4A29"/>
    <w:rsid w:val="005C4CBA"/>
    <w:rsid w:val="005C4CC3"/>
    <w:rsid w:val="005C4D91"/>
    <w:rsid w:val="005C4F24"/>
    <w:rsid w:val="005C4FEE"/>
    <w:rsid w:val="005C51B8"/>
    <w:rsid w:val="005C51D9"/>
    <w:rsid w:val="005C51E0"/>
    <w:rsid w:val="005C5634"/>
    <w:rsid w:val="005C57E9"/>
    <w:rsid w:val="005C57EA"/>
    <w:rsid w:val="005C5E28"/>
    <w:rsid w:val="005C5EF4"/>
    <w:rsid w:val="005C603A"/>
    <w:rsid w:val="005C63B2"/>
    <w:rsid w:val="005C65A0"/>
    <w:rsid w:val="005C6957"/>
    <w:rsid w:val="005C7319"/>
    <w:rsid w:val="005C7571"/>
    <w:rsid w:val="005C7824"/>
    <w:rsid w:val="005C79CF"/>
    <w:rsid w:val="005C7E96"/>
    <w:rsid w:val="005D0554"/>
    <w:rsid w:val="005D057E"/>
    <w:rsid w:val="005D06E7"/>
    <w:rsid w:val="005D0E71"/>
    <w:rsid w:val="005D1539"/>
    <w:rsid w:val="005D1A97"/>
    <w:rsid w:val="005D1F01"/>
    <w:rsid w:val="005D1F1E"/>
    <w:rsid w:val="005D1F49"/>
    <w:rsid w:val="005D202E"/>
    <w:rsid w:val="005D2244"/>
    <w:rsid w:val="005D23CB"/>
    <w:rsid w:val="005D24DE"/>
    <w:rsid w:val="005D26DF"/>
    <w:rsid w:val="005D272C"/>
    <w:rsid w:val="005D2746"/>
    <w:rsid w:val="005D2971"/>
    <w:rsid w:val="005D2AA0"/>
    <w:rsid w:val="005D2E85"/>
    <w:rsid w:val="005D3A95"/>
    <w:rsid w:val="005D3CAB"/>
    <w:rsid w:val="005D3DF7"/>
    <w:rsid w:val="005D3F69"/>
    <w:rsid w:val="005D408C"/>
    <w:rsid w:val="005D4205"/>
    <w:rsid w:val="005D43E0"/>
    <w:rsid w:val="005D44A0"/>
    <w:rsid w:val="005D46F6"/>
    <w:rsid w:val="005D4A25"/>
    <w:rsid w:val="005D4A47"/>
    <w:rsid w:val="005D4AA4"/>
    <w:rsid w:val="005D4B96"/>
    <w:rsid w:val="005D50ED"/>
    <w:rsid w:val="005D5169"/>
    <w:rsid w:val="005D5352"/>
    <w:rsid w:val="005D546E"/>
    <w:rsid w:val="005D5558"/>
    <w:rsid w:val="005D571D"/>
    <w:rsid w:val="005D6692"/>
    <w:rsid w:val="005D6ADA"/>
    <w:rsid w:val="005D6DAC"/>
    <w:rsid w:val="005D6E86"/>
    <w:rsid w:val="005D770E"/>
    <w:rsid w:val="005D7B72"/>
    <w:rsid w:val="005D7C1B"/>
    <w:rsid w:val="005E08DE"/>
    <w:rsid w:val="005E0ADD"/>
    <w:rsid w:val="005E0D36"/>
    <w:rsid w:val="005E1256"/>
    <w:rsid w:val="005E146B"/>
    <w:rsid w:val="005E1504"/>
    <w:rsid w:val="005E15F0"/>
    <w:rsid w:val="005E195D"/>
    <w:rsid w:val="005E1E29"/>
    <w:rsid w:val="005E22C0"/>
    <w:rsid w:val="005E27CF"/>
    <w:rsid w:val="005E28CB"/>
    <w:rsid w:val="005E2A78"/>
    <w:rsid w:val="005E3BDE"/>
    <w:rsid w:val="005E3C0B"/>
    <w:rsid w:val="005E3C36"/>
    <w:rsid w:val="005E3EA5"/>
    <w:rsid w:val="005E4092"/>
    <w:rsid w:val="005E46AE"/>
    <w:rsid w:val="005E48C6"/>
    <w:rsid w:val="005E492E"/>
    <w:rsid w:val="005E4CEB"/>
    <w:rsid w:val="005E4D5B"/>
    <w:rsid w:val="005E4F85"/>
    <w:rsid w:val="005E508E"/>
    <w:rsid w:val="005E5240"/>
    <w:rsid w:val="005E547C"/>
    <w:rsid w:val="005E57C9"/>
    <w:rsid w:val="005E5801"/>
    <w:rsid w:val="005E5906"/>
    <w:rsid w:val="005E5E0F"/>
    <w:rsid w:val="005E610A"/>
    <w:rsid w:val="005E610E"/>
    <w:rsid w:val="005E639C"/>
    <w:rsid w:val="005E6AEA"/>
    <w:rsid w:val="005E6BEF"/>
    <w:rsid w:val="005E6C4B"/>
    <w:rsid w:val="005E723F"/>
    <w:rsid w:val="005E757D"/>
    <w:rsid w:val="005E765E"/>
    <w:rsid w:val="005E792C"/>
    <w:rsid w:val="005E7936"/>
    <w:rsid w:val="005E7B96"/>
    <w:rsid w:val="005F0302"/>
    <w:rsid w:val="005F0A15"/>
    <w:rsid w:val="005F11CE"/>
    <w:rsid w:val="005F12FA"/>
    <w:rsid w:val="005F175B"/>
    <w:rsid w:val="005F1839"/>
    <w:rsid w:val="005F1C02"/>
    <w:rsid w:val="005F1FD5"/>
    <w:rsid w:val="005F2084"/>
    <w:rsid w:val="005F2118"/>
    <w:rsid w:val="005F213D"/>
    <w:rsid w:val="005F2265"/>
    <w:rsid w:val="005F2724"/>
    <w:rsid w:val="005F29EF"/>
    <w:rsid w:val="005F2BF4"/>
    <w:rsid w:val="005F334A"/>
    <w:rsid w:val="005F3B30"/>
    <w:rsid w:val="005F3C61"/>
    <w:rsid w:val="005F3CD8"/>
    <w:rsid w:val="005F4424"/>
    <w:rsid w:val="005F4714"/>
    <w:rsid w:val="005F47D6"/>
    <w:rsid w:val="005F49E2"/>
    <w:rsid w:val="005F4BBD"/>
    <w:rsid w:val="005F4C44"/>
    <w:rsid w:val="005F4DBC"/>
    <w:rsid w:val="005F4DFF"/>
    <w:rsid w:val="005F507D"/>
    <w:rsid w:val="005F534D"/>
    <w:rsid w:val="005F535F"/>
    <w:rsid w:val="005F56E3"/>
    <w:rsid w:val="005F57BD"/>
    <w:rsid w:val="005F5884"/>
    <w:rsid w:val="005F5A11"/>
    <w:rsid w:val="005F5C96"/>
    <w:rsid w:val="005F647C"/>
    <w:rsid w:val="005F68D2"/>
    <w:rsid w:val="005F6B35"/>
    <w:rsid w:val="005F6BAA"/>
    <w:rsid w:val="005F6C1F"/>
    <w:rsid w:val="005F7095"/>
    <w:rsid w:val="005F7397"/>
    <w:rsid w:val="005F742E"/>
    <w:rsid w:val="005F7528"/>
    <w:rsid w:val="005F7548"/>
    <w:rsid w:val="005F76BC"/>
    <w:rsid w:val="005F7AE0"/>
    <w:rsid w:val="005F7D33"/>
    <w:rsid w:val="005F7ED3"/>
    <w:rsid w:val="0060011E"/>
    <w:rsid w:val="0060017A"/>
    <w:rsid w:val="00600247"/>
    <w:rsid w:val="00600775"/>
    <w:rsid w:val="006007DB"/>
    <w:rsid w:val="0060089A"/>
    <w:rsid w:val="006009A7"/>
    <w:rsid w:val="00600AEC"/>
    <w:rsid w:val="00600E7E"/>
    <w:rsid w:val="006012C1"/>
    <w:rsid w:val="006014E8"/>
    <w:rsid w:val="00602091"/>
    <w:rsid w:val="00602272"/>
    <w:rsid w:val="0060246C"/>
    <w:rsid w:val="006024CC"/>
    <w:rsid w:val="0060305C"/>
    <w:rsid w:val="0060311C"/>
    <w:rsid w:val="0060331A"/>
    <w:rsid w:val="00603367"/>
    <w:rsid w:val="00603720"/>
    <w:rsid w:val="00603782"/>
    <w:rsid w:val="00603822"/>
    <w:rsid w:val="006038FE"/>
    <w:rsid w:val="00603E92"/>
    <w:rsid w:val="00604163"/>
    <w:rsid w:val="00604267"/>
    <w:rsid w:val="00604351"/>
    <w:rsid w:val="0060452F"/>
    <w:rsid w:val="006046B2"/>
    <w:rsid w:val="006046C8"/>
    <w:rsid w:val="00604867"/>
    <w:rsid w:val="00604AEB"/>
    <w:rsid w:val="00604CA5"/>
    <w:rsid w:val="00604D40"/>
    <w:rsid w:val="00604F9B"/>
    <w:rsid w:val="0060532D"/>
    <w:rsid w:val="00605456"/>
    <w:rsid w:val="00605826"/>
    <w:rsid w:val="00605C16"/>
    <w:rsid w:val="00605DB6"/>
    <w:rsid w:val="00605E14"/>
    <w:rsid w:val="00606008"/>
    <w:rsid w:val="006066FC"/>
    <w:rsid w:val="00606723"/>
    <w:rsid w:val="00606781"/>
    <w:rsid w:val="00606FE8"/>
    <w:rsid w:val="00607338"/>
    <w:rsid w:val="00607740"/>
    <w:rsid w:val="00607C3F"/>
    <w:rsid w:val="00607EC9"/>
    <w:rsid w:val="006104E3"/>
    <w:rsid w:val="00610608"/>
    <w:rsid w:val="0061093B"/>
    <w:rsid w:val="00610A7A"/>
    <w:rsid w:val="00610D7F"/>
    <w:rsid w:val="00610E51"/>
    <w:rsid w:val="00610EE7"/>
    <w:rsid w:val="0061100C"/>
    <w:rsid w:val="0061175A"/>
    <w:rsid w:val="00611811"/>
    <w:rsid w:val="00612456"/>
    <w:rsid w:val="006129FD"/>
    <w:rsid w:val="00612AC7"/>
    <w:rsid w:val="00612C4E"/>
    <w:rsid w:val="0061340B"/>
    <w:rsid w:val="006141BA"/>
    <w:rsid w:val="00614554"/>
    <w:rsid w:val="0061499C"/>
    <w:rsid w:val="00614FC4"/>
    <w:rsid w:val="00615507"/>
    <w:rsid w:val="00615D47"/>
    <w:rsid w:val="0061615D"/>
    <w:rsid w:val="00616178"/>
    <w:rsid w:val="00616292"/>
    <w:rsid w:val="0061684B"/>
    <w:rsid w:val="00616E41"/>
    <w:rsid w:val="00616EED"/>
    <w:rsid w:val="006173E1"/>
    <w:rsid w:val="0061769E"/>
    <w:rsid w:val="0062073B"/>
    <w:rsid w:val="0062085E"/>
    <w:rsid w:val="0062086B"/>
    <w:rsid w:val="00620AD9"/>
    <w:rsid w:val="00620C47"/>
    <w:rsid w:val="00620CA7"/>
    <w:rsid w:val="00620DD6"/>
    <w:rsid w:val="00620FAB"/>
    <w:rsid w:val="00621D82"/>
    <w:rsid w:val="00621E03"/>
    <w:rsid w:val="00622175"/>
    <w:rsid w:val="006223F0"/>
    <w:rsid w:val="00622A63"/>
    <w:rsid w:val="00622B84"/>
    <w:rsid w:val="00622C2F"/>
    <w:rsid w:val="00622CDB"/>
    <w:rsid w:val="00622E87"/>
    <w:rsid w:val="00622F58"/>
    <w:rsid w:val="00622FE0"/>
    <w:rsid w:val="00623182"/>
    <w:rsid w:val="00623231"/>
    <w:rsid w:val="0062325A"/>
    <w:rsid w:val="006235B5"/>
    <w:rsid w:val="0062391E"/>
    <w:rsid w:val="00623BE1"/>
    <w:rsid w:val="00623C63"/>
    <w:rsid w:val="00623E41"/>
    <w:rsid w:val="00624283"/>
    <w:rsid w:val="00624439"/>
    <w:rsid w:val="006247A9"/>
    <w:rsid w:val="00624A1A"/>
    <w:rsid w:val="00624A4B"/>
    <w:rsid w:val="00624B85"/>
    <w:rsid w:val="00624BEA"/>
    <w:rsid w:val="00624DC9"/>
    <w:rsid w:val="00624E3B"/>
    <w:rsid w:val="006252A2"/>
    <w:rsid w:val="006255C3"/>
    <w:rsid w:val="006257FA"/>
    <w:rsid w:val="00625DC6"/>
    <w:rsid w:val="00626147"/>
    <w:rsid w:val="0062645E"/>
    <w:rsid w:val="0062662F"/>
    <w:rsid w:val="0062665A"/>
    <w:rsid w:val="006267B5"/>
    <w:rsid w:val="006267F2"/>
    <w:rsid w:val="00626AD9"/>
    <w:rsid w:val="00626CC5"/>
    <w:rsid w:val="006271C2"/>
    <w:rsid w:val="006272C4"/>
    <w:rsid w:val="0062748B"/>
    <w:rsid w:val="006274A6"/>
    <w:rsid w:val="00627617"/>
    <w:rsid w:val="00627928"/>
    <w:rsid w:val="00630031"/>
    <w:rsid w:val="006301CF"/>
    <w:rsid w:val="006301E8"/>
    <w:rsid w:val="0063035A"/>
    <w:rsid w:val="006307C6"/>
    <w:rsid w:val="006309D0"/>
    <w:rsid w:val="00630A10"/>
    <w:rsid w:val="0063138E"/>
    <w:rsid w:val="006317B0"/>
    <w:rsid w:val="00631E8F"/>
    <w:rsid w:val="00631FDC"/>
    <w:rsid w:val="00632204"/>
    <w:rsid w:val="006323D0"/>
    <w:rsid w:val="00632931"/>
    <w:rsid w:val="006329E1"/>
    <w:rsid w:val="00632E5C"/>
    <w:rsid w:val="006337A5"/>
    <w:rsid w:val="006337D4"/>
    <w:rsid w:val="006339D4"/>
    <w:rsid w:val="00633CCB"/>
    <w:rsid w:val="006345D2"/>
    <w:rsid w:val="00634717"/>
    <w:rsid w:val="00634897"/>
    <w:rsid w:val="00634D7A"/>
    <w:rsid w:val="00634DB6"/>
    <w:rsid w:val="00634E4D"/>
    <w:rsid w:val="006351C1"/>
    <w:rsid w:val="0063533A"/>
    <w:rsid w:val="00635421"/>
    <w:rsid w:val="0063555B"/>
    <w:rsid w:val="006355BC"/>
    <w:rsid w:val="006355D9"/>
    <w:rsid w:val="0063560C"/>
    <w:rsid w:val="006358A3"/>
    <w:rsid w:val="00635AFB"/>
    <w:rsid w:val="00635B3A"/>
    <w:rsid w:val="00635EA7"/>
    <w:rsid w:val="00636165"/>
    <w:rsid w:val="00636431"/>
    <w:rsid w:val="006364B7"/>
    <w:rsid w:val="006368FF"/>
    <w:rsid w:val="00636A54"/>
    <w:rsid w:val="00636CB9"/>
    <w:rsid w:val="00637382"/>
    <w:rsid w:val="006374D1"/>
    <w:rsid w:val="006376EE"/>
    <w:rsid w:val="00637E9D"/>
    <w:rsid w:val="006401FA"/>
    <w:rsid w:val="00640213"/>
    <w:rsid w:val="006403EC"/>
    <w:rsid w:val="00640411"/>
    <w:rsid w:val="00640446"/>
    <w:rsid w:val="006406DE"/>
    <w:rsid w:val="006406E6"/>
    <w:rsid w:val="0064074A"/>
    <w:rsid w:val="0064075F"/>
    <w:rsid w:val="006408AF"/>
    <w:rsid w:val="00640A62"/>
    <w:rsid w:val="00640C0B"/>
    <w:rsid w:val="006410BB"/>
    <w:rsid w:val="00641148"/>
    <w:rsid w:val="00641379"/>
    <w:rsid w:val="00641419"/>
    <w:rsid w:val="006414BC"/>
    <w:rsid w:val="0064162C"/>
    <w:rsid w:val="006416EE"/>
    <w:rsid w:val="0064177E"/>
    <w:rsid w:val="00641CBA"/>
    <w:rsid w:val="006426C8"/>
    <w:rsid w:val="006428D6"/>
    <w:rsid w:val="00642987"/>
    <w:rsid w:val="006433A1"/>
    <w:rsid w:val="0064365D"/>
    <w:rsid w:val="006436D2"/>
    <w:rsid w:val="0064385C"/>
    <w:rsid w:val="0064385D"/>
    <w:rsid w:val="00643A7D"/>
    <w:rsid w:val="006443A5"/>
    <w:rsid w:val="006447EB"/>
    <w:rsid w:val="0064490F"/>
    <w:rsid w:val="006449C0"/>
    <w:rsid w:val="00644AD1"/>
    <w:rsid w:val="0064507F"/>
    <w:rsid w:val="006452F3"/>
    <w:rsid w:val="006453AA"/>
    <w:rsid w:val="00645505"/>
    <w:rsid w:val="006455A5"/>
    <w:rsid w:val="00645620"/>
    <w:rsid w:val="006457B7"/>
    <w:rsid w:val="00645803"/>
    <w:rsid w:val="00645E4A"/>
    <w:rsid w:val="00645E59"/>
    <w:rsid w:val="006460D0"/>
    <w:rsid w:val="00646141"/>
    <w:rsid w:val="006466EE"/>
    <w:rsid w:val="00646AA3"/>
    <w:rsid w:val="00646BEB"/>
    <w:rsid w:val="00646D6E"/>
    <w:rsid w:val="00646F4C"/>
    <w:rsid w:val="0064756F"/>
    <w:rsid w:val="00647693"/>
    <w:rsid w:val="006477BB"/>
    <w:rsid w:val="00647880"/>
    <w:rsid w:val="0065047D"/>
    <w:rsid w:val="00650500"/>
    <w:rsid w:val="0065066C"/>
    <w:rsid w:val="00650A3B"/>
    <w:rsid w:val="00650F2A"/>
    <w:rsid w:val="00651528"/>
    <w:rsid w:val="00651680"/>
    <w:rsid w:val="00651692"/>
    <w:rsid w:val="006517BA"/>
    <w:rsid w:val="00652318"/>
    <w:rsid w:val="0065253C"/>
    <w:rsid w:val="00652CA5"/>
    <w:rsid w:val="00652CFE"/>
    <w:rsid w:val="00653035"/>
    <w:rsid w:val="00653221"/>
    <w:rsid w:val="00653745"/>
    <w:rsid w:val="00653C55"/>
    <w:rsid w:val="00653D2B"/>
    <w:rsid w:val="00653E82"/>
    <w:rsid w:val="006541B8"/>
    <w:rsid w:val="00654281"/>
    <w:rsid w:val="006545AA"/>
    <w:rsid w:val="00654624"/>
    <w:rsid w:val="00654BF3"/>
    <w:rsid w:val="00654C63"/>
    <w:rsid w:val="00654DDC"/>
    <w:rsid w:val="00655541"/>
    <w:rsid w:val="006559F1"/>
    <w:rsid w:val="00655E2C"/>
    <w:rsid w:val="00656671"/>
    <w:rsid w:val="006566CD"/>
    <w:rsid w:val="006568AA"/>
    <w:rsid w:val="006571A0"/>
    <w:rsid w:val="0065758A"/>
    <w:rsid w:val="0065788D"/>
    <w:rsid w:val="0065789C"/>
    <w:rsid w:val="00657A3D"/>
    <w:rsid w:val="0066021F"/>
    <w:rsid w:val="0066028D"/>
    <w:rsid w:val="006602D4"/>
    <w:rsid w:val="00660536"/>
    <w:rsid w:val="006607C4"/>
    <w:rsid w:val="00661028"/>
    <w:rsid w:val="00661525"/>
    <w:rsid w:val="00661884"/>
    <w:rsid w:val="00661B97"/>
    <w:rsid w:val="00661D68"/>
    <w:rsid w:val="00661E1E"/>
    <w:rsid w:val="006621B6"/>
    <w:rsid w:val="006624D3"/>
    <w:rsid w:val="006626F8"/>
    <w:rsid w:val="00662771"/>
    <w:rsid w:val="006627F4"/>
    <w:rsid w:val="0066293D"/>
    <w:rsid w:val="00662ADF"/>
    <w:rsid w:val="00662B32"/>
    <w:rsid w:val="00662C1A"/>
    <w:rsid w:val="00662C42"/>
    <w:rsid w:val="00663144"/>
    <w:rsid w:val="0066344C"/>
    <w:rsid w:val="00663454"/>
    <w:rsid w:val="006634C4"/>
    <w:rsid w:val="0066363E"/>
    <w:rsid w:val="00663E16"/>
    <w:rsid w:val="00664243"/>
    <w:rsid w:val="0066428A"/>
    <w:rsid w:val="00664500"/>
    <w:rsid w:val="00664549"/>
    <w:rsid w:val="00664694"/>
    <w:rsid w:val="006648D8"/>
    <w:rsid w:val="00664AED"/>
    <w:rsid w:val="00664C2B"/>
    <w:rsid w:val="00664C44"/>
    <w:rsid w:val="00664C99"/>
    <w:rsid w:val="00664D57"/>
    <w:rsid w:val="00664F1B"/>
    <w:rsid w:val="00665039"/>
    <w:rsid w:val="006652A8"/>
    <w:rsid w:val="00665553"/>
    <w:rsid w:val="00665737"/>
    <w:rsid w:val="00665852"/>
    <w:rsid w:val="00665D42"/>
    <w:rsid w:val="006661C8"/>
    <w:rsid w:val="006666E6"/>
    <w:rsid w:val="00666A32"/>
    <w:rsid w:val="00666AF3"/>
    <w:rsid w:val="00666EC3"/>
    <w:rsid w:val="00667349"/>
    <w:rsid w:val="006674C8"/>
    <w:rsid w:val="0066779A"/>
    <w:rsid w:val="006679BE"/>
    <w:rsid w:val="00667A19"/>
    <w:rsid w:val="00667C4F"/>
    <w:rsid w:val="00667C85"/>
    <w:rsid w:val="0067061C"/>
    <w:rsid w:val="0067087B"/>
    <w:rsid w:val="006708A3"/>
    <w:rsid w:val="00670AEB"/>
    <w:rsid w:val="00670C70"/>
    <w:rsid w:val="00670CFD"/>
    <w:rsid w:val="0067107E"/>
    <w:rsid w:val="00671085"/>
    <w:rsid w:val="00671D81"/>
    <w:rsid w:val="00672931"/>
    <w:rsid w:val="006730EF"/>
    <w:rsid w:val="006737F4"/>
    <w:rsid w:val="006739CD"/>
    <w:rsid w:val="00673B2B"/>
    <w:rsid w:val="00673B39"/>
    <w:rsid w:val="00674614"/>
    <w:rsid w:val="006747BA"/>
    <w:rsid w:val="006748DE"/>
    <w:rsid w:val="00674A01"/>
    <w:rsid w:val="00674E78"/>
    <w:rsid w:val="00674FC5"/>
    <w:rsid w:val="00675B9F"/>
    <w:rsid w:val="00675FDA"/>
    <w:rsid w:val="006760D3"/>
    <w:rsid w:val="006763D3"/>
    <w:rsid w:val="0067651E"/>
    <w:rsid w:val="006765D3"/>
    <w:rsid w:val="00676776"/>
    <w:rsid w:val="00676874"/>
    <w:rsid w:val="00676FCB"/>
    <w:rsid w:val="00676FDE"/>
    <w:rsid w:val="0067795E"/>
    <w:rsid w:val="00677AAB"/>
    <w:rsid w:val="00677D76"/>
    <w:rsid w:val="00677EBB"/>
    <w:rsid w:val="00680224"/>
    <w:rsid w:val="006804DA"/>
    <w:rsid w:val="006806F7"/>
    <w:rsid w:val="00680768"/>
    <w:rsid w:val="00680864"/>
    <w:rsid w:val="00680A8D"/>
    <w:rsid w:val="00680DCE"/>
    <w:rsid w:val="0068115F"/>
    <w:rsid w:val="00681328"/>
    <w:rsid w:val="006813C7"/>
    <w:rsid w:val="0068146D"/>
    <w:rsid w:val="006816AC"/>
    <w:rsid w:val="006816EE"/>
    <w:rsid w:val="00681ED1"/>
    <w:rsid w:val="00681F65"/>
    <w:rsid w:val="00682551"/>
    <w:rsid w:val="006825CF"/>
    <w:rsid w:val="00682891"/>
    <w:rsid w:val="00682999"/>
    <w:rsid w:val="00682D05"/>
    <w:rsid w:val="00682D4D"/>
    <w:rsid w:val="00682F1A"/>
    <w:rsid w:val="006839D4"/>
    <w:rsid w:val="00683AF3"/>
    <w:rsid w:val="00683CD9"/>
    <w:rsid w:val="00683D37"/>
    <w:rsid w:val="00684363"/>
    <w:rsid w:val="0068467B"/>
    <w:rsid w:val="006847CF"/>
    <w:rsid w:val="00684C25"/>
    <w:rsid w:val="00684E05"/>
    <w:rsid w:val="006853F2"/>
    <w:rsid w:val="00685512"/>
    <w:rsid w:val="0068570A"/>
    <w:rsid w:val="00685876"/>
    <w:rsid w:val="00686671"/>
    <w:rsid w:val="006866D2"/>
    <w:rsid w:val="006866FB"/>
    <w:rsid w:val="00686739"/>
    <w:rsid w:val="006868B0"/>
    <w:rsid w:val="00686A23"/>
    <w:rsid w:val="00686AA0"/>
    <w:rsid w:val="00686C2A"/>
    <w:rsid w:val="00686CC3"/>
    <w:rsid w:val="00687069"/>
    <w:rsid w:val="006875C6"/>
    <w:rsid w:val="00687734"/>
    <w:rsid w:val="00687A62"/>
    <w:rsid w:val="006908ED"/>
    <w:rsid w:val="00690903"/>
    <w:rsid w:val="00690B3C"/>
    <w:rsid w:val="00690F43"/>
    <w:rsid w:val="0069111E"/>
    <w:rsid w:val="006916E7"/>
    <w:rsid w:val="0069182F"/>
    <w:rsid w:val="00691904"/>
    <w:rsid w:val="00691A87"/>
    <w:rsid w:val="00691BF2"/>
    <w:rsid w:val="00691C42"/>
    <w:rsid w:val="00692105"/>
    <w:rsid w:val="00692AE6"/>
    <w:rsid w:val="00692CF4"/>
    <w:rsid w:val="00692FEA"/>
    <w:rsid w:val="006933C3"/>
    <w:rsid w:val="00693679"/>
    <w:rsid w:val="00693778"/>
    <w:rsid w:val="00693B08"/>
    <w:rsid w:val="00693BD1"/>
    <w:rsid w:val="00694009"/>
    <w:rsid w:val="00694249"/>
    <w:rsid w:val="0069459B"/>
    <w:rsid w:val="00694713"/>
    <w:rsid w:val="00694AC3"/>
    <w:rsid w:val="00694F7D"/>
    <w:rsid w:val="00695266"/>
    <w:rsid w:val="00695364"/>
    <w:rsid w:val="006953F5"/>
    <w:rsid w:val="0069543B"/>
    <w:rsid w:val="0069549C"/>
    <w:rsid w:val="006954D9"/>
    <w:rsid w:val="006956BA"/>
    <w:rsid w:val="0069584F"/>
    <w:rsid w:val="00695AC0"/>
    <w:rsid w:val="006961D3"/>
    <w:rsid w:val="0069635D"/>
    <w:rsid w:val="006965EA"/>
    <w:rsid w:val="00696C0B"/>
    <w:rsid w:val="006971E6"/>
    <w:rsid w:val="006973E5"/>
    <w:rsid w:val="0069743C"/>
    <w:rsid w:val="006974F8"/>
    <w:rsid w:val="00697641"/>
    <w:rsid w:val="00697A49"/>
    <w:rsid w:val="00697A7F"/>
    <w:rsid w:val="006A0335"/>
    <w:rsid w:val="006A04BD"/>
    <w:rsid w:val="006A076B"/>
    <w:rsid w:val="006A0894"/>
    <w:rsid w:val="006A09E7"/>
    <w:rsid w:val="006A0C4A"/>
    <w:rsid w:val="006A116D"/>
    <w:rsid w:val="006A12C9"/>
    <w:rsid w:val="006A18E7"/>
    <w:rsid w:val="006A2B78"/>
    <w:rsid w:val="006A2C6E"/>
    <w:rsid w:val="006A2FB1"/>
    <w:rsid w:val="006A306C"/>
    <w:rsid w:val="006A372B"/>
    <w:rsid w:val="006A39EB"/>
    <w:rsid w:val="006A3E1C"/>
    <w:rsid w:val="006A4380"/>
    <w:rsid w:val="006A46C4"/>
    <w:rsid w:val="006A4836"/>
    <w:rsid w:val="006A4E39"/>
    <w:rsid w:val="006A5147"/>
    <w:rsid w:val="006A5300"/>
    <w:rsid w:val="006A5756"/>
    <w:rsid w:val="006A5B3C"/>
    <w:rsid w:val="006A6159"/>
    <w:rsid w:val="006A6247"/>
    <w:rsid w:val="006A6330"/>
    <w:rsid w:val="006A6679"/>
    <w:rsid w:val="006A6795"/>
    <w:rsid w:val="006A69A8"/>
    <w:rsid w:val="006A69BB"/>
    <w:rsid w:val="006A69D5"/>
    <w:rsid w:val="006A6A15"/>
    <w:rsid w:val="006A6A5D"/>
    <w:rsid w:val="006A6A71"/>
    <w:rsid w:val="006A6B81"/>
    <w:rsid w:val="006A6D6A"/>
    <w:rsid w:val="006A7127"/>
    <w:rsid w:val="006A7164"/>
    <w:rsid w:val="006A775E"/>
    <w:rsid w:val="006A78D8"/>
    <w:rsid w:val="006A7FB9"/>
    <w:rsid w:val="006B0220"/>
    <w:rsid w:val="006B0347"/>
    <w:rsid w:val="006B068F"/>
    <w:rsid w:val="006B0867"/>
    <w:rsid w:val="006B0A16"/>
    <w:rsid w:val="006B0D7E"/>
    <w:rsid w:val="006B12A8"/>
    <w:rsid w:val="006B1513"/>
    <w:rsid w:val="006B16D5"/>
    <w:rsid w:val="006B17B3"/>
    <w:rsid w:val="006B1903"/>
    <w:rsid w:val="006B1A5B"/>
    <w:rsid w:val="006B1C8F"/>
    <w:rsid w:val="006B1E35"/>
    <w:rsid w:val="006B23D5"/>
    <w:rsid w:val="006B26FF"/>
    <w:rsid w:val="006B2A94"/>
    <w:rsid w:val="006B2BD3"/>
    <w:rsid w:val="006B320B"/>
    <w:rsid w:val="006B32D3"/>
    <w:rsid w:val="006B33E1"/>
    <w:rsid w:val="006B3504"/>
    <w:rsid w:val="006B3667"/>
    <w:rsid w:val="006B37E5"/>
    <w:rsid w:val="006B39AD"/>
    <w:rsid w:val="006B3A72"/>
    <w:rsid w:val="006B406B"/>
    <w:rsid w:val="006B4493"/>
    <w:rsid w:val="006B452D"/>
    <w:rsid w:val="006B47EF"/>
    <w:rsid w:val="006B4819"/>
    <w:rsid w:val="006B49CC"/>
    <w:rsid w:val="006B4CC3"/>
    <w:rsid w:val="006B530D"/>
    <w:rsid w:val="006B55BB"/>
    <w:rsid w:val="006B59F6"/>
    <w:rsid w:val="006B5A53"/>
    <w:rsid w:val="006B5B3E"/>
    <w:rsid w:val="006B5B4F"/>
    <w:rsid w:val="006B5C73"/>
    <w:rsid w:val="006B5F98"/>
    <w:rsid w:val="006B6371"/>
    <w:rsid w:val="006B663B"/>
    <w:rsid w:val="006B6B56"/>
    <w:rsid w:val="006B72A4"/>
    <w:rsid w:val="006B72FD"/>
    <w:rsid w:val="006B732E"/>
    <w:rsid w:val="006B7787"/>
    <w:rsid w:val="006B77AF"/>
    <w:rsid w:val="006B789B"/>
    <w:rsid w:val="006B796E"/>
    <w:rsid w:val="006B7B27"/>
    <w:rsid w:val="006B7CB2"/>
    <w:rsid w:val="006C0434"/>
    <w:rsid w:val="006C0505"/>
    <w:rsid w:val="006C0635"/>
    <w:rsid w:val="006C0A5B"/>
    <w:rsid w:val="006C1056"/>
    <w:rsid w:val="006C12D7"/>
    <w:rsid w:val="006C1494"/>
    <w:rsid w:val="006C1619"/>
    <w:rsid w:val="006C1821"/>
    <w:rsid w:val="006C1C2D"/>
    <w:rsid w:val="006C1DC9"/>
    <w:rsid w:val="006C1F36"/>
    <w:rsid w:val="006C1F92"/>
    <w:rsid w:val="006C200B"/>
    <w:rsid w:val="006C22D0"/>
    <w:rsid w:val="006C24C3"/>
    <w:rsid w:val="006C2929"/>
    <w:rsid w:val="006C2DA9"/>
    <w:rsid w:val="006C32EC"/>
    <w:rsid w:val="006C3307"/>
    <w:rsid w:val="006C33E3"/>
    <w:rsid w:val="006C346C"/>
    <w:rsid w:val="006C35A7"/>
    <w:rsid w:val="006C35EA"/>
    <w:rsid w:val="006C3654"/>
    <w:rsid w:val="006C36C0"/>
    <w:rsid w:val="006C384B"/>
    <w:rsid w:val="006C3A06"/>
    <w:rsid w:val="006C3E1F"/>
    <w:rsid w:val="006C4373"/>
    <w:rsid w:val="006C4809"/>
    <w:rsid w:val="006C4825"/>
    <w:rsid w:val="006C4A90"/>
    <w:rsid w:val="006C4F96"/>
    <w:rsid w:val="006C5195"/>
    <w:rsid w:val="006C57D1"/>
    <w:rsid w:val="006C595A"/>
    <w:rsid w:val="006C595B"/>
    <w:rsid w:val="006C59E0"/>
    <w:rsid w:val="006C5E2C"/>
    <w:rsid w:val="006C5E76"/>
    <w:rsid w:val="006C649E"/>
    <w:rsid w:val="006C6774"/>
    <w:rsid w:val="006C6796"/>
    <w:rsid w:val="006C67FC"/>
    <w:rsid w:val="006C69FC"/>
    <w:rsid w:val="006C6A40"/>
    <w:rsid w:val="006C6A6B"/>
    <w:rsid w:val="006C6AA7"/>
    <w:rsid w:val="006C6EFF"/>
    <w:rsid w:val="006C6F96"/>
    <w:rsid w:val="006C70CB"/>
    <w:rsid w:val="006C725A"/>
    <w:rsid w:val="006C72C0"/>
    <w:rsid w:val="006C77E8"/>
    <w:rsid w:val="006C7EBE"/>
    <w:rsid w:val="006C7F00"/>
    <w:rsid w:val="006D01C3"/>
    <w:rsid w:val="006D01F3"/>
    <w:rsid w:val="006D0270"/>
    <w:rsid w:val="006D0286"/>
    <w:rsid w:val="006D02D8"/>
    <w:rsid w:val="006D04D8"/>
    <w:rsid w:val="006D04F1"/>
    <w:rsid w:val="006D0750"/>
    <w:rsid w:val="006D0C94"/>
    <w:rsid w:val="006D0C9C"/>
    <w:rsid w:val="006D0DC9"/>
    <w:rsid w:val="006D1289"/>
    <w:rsid w:val="006D188B"/>
    <w:rsid w:val="006D19F2"/>
    <w:rsid w:val="006D1FC5"/>
    <w:rsid w:val="006D288C"/>
    <w:rsid w:val="006D28BD"/>
    <w:rsid w:val="006D2FF7"/>
    <w:rsid w:val="006D3128"/>
    <w:rsid w:val="006D3723"/>
    <w:rsid w:val="006D3818"/>
    <w:rsid w:val="006D3C65"/>
    <w:rsid w:val="006D40F4"/>
    <w:rsid w:val="006D4396"/>
    <w:rsid w:val="006D4397"/>
    <w:rsid w:val="006D4A05"/>
    <w:rsid w:val="006D4A4D"/>
    <w:rsid w:val="006D4E9D"/>
    <w:rsid w:val="006D4FD7"/>
    <w:rsid w:val="006D51C2"/>
    <w:rsid w:val="006D5584"/>
    <w:rsid w:val="006D5739"/>
    <w:rsid w:val="006D5806"/>
    <w:rsid w:val="006D5ED9"/>
    <w:rsid w:val="006D6099"/>
    <w:rsid w:val="006D6161"/>
    <w:rsid w:val="006D622D"/>
    <w:rsid w:val="006D6991"/>
    <w:rsid w:val="006D6DD9"/>
    <w:rsid w:val="006D72E6"/>
    <w:rsid w:val="006D73C4"/>
    <w:rsid w:val="006D7ACD"/>
    <w:rsid w:val="006E0239"/>
    <w:rsid w:val="006E068D"/>
    <w:rsid w:val="006E0783"/>
    <w:rsid w:val="006E092C"/>
    <w:rsid w:val="006E0DBF"/>
    <w:rsid w:val="006E143C"/>
    <w:rsid w:val="006E14E3"/>
    <w:rsid w:val="006E1956"/>
    <w:rsid w:val="006E1F0E"/>
    <w:rsid w:val="006E24AF"/>
    <w:rsid w:val="006E27F8"/>
    <w:rsid w:val="006E2983"/>
    <w:rsid w:val="006E2BE9"/>
    <w:rsid w:val="006E2D2E"/>
    <w:rsid w:val="006E2D60"/>
    <w:rsid w:val="006E2D7D"/>
    <w:rsid w:val="006E2DD6"/>
    <w:rsid w:val="006E32A5"/>
    <w:rsid w:val="006E3435"/>
    <w:rsid w:val="006E3623"/>
    <w:rsid w:val="006E36DE"/>
    <w:rsid w:val="006E3776"/>
    <w:rsid w:val="006E400E"/>
    <w:rsid w:val="006E4168"/>
    <w:rsid w:val="006E452A"/>
    <w:rsid w:val="006E471F"/>
    <w:rsid w:val="006E483E"/>
    <w:rsid w:val="006E4A71"/>
    <w:rsid w:val="006E4FF2"/>
    <w:rsid w:val="006E5287"/>
    <w:rsid w:val="006E5D3F"/>
    <w:rsid w:val="006E5D65"/>
    <w:rsid w:val="006E5E6D"/>
    <w:rsid w:val="006E6031"/>
    <w:rsid w:val="006E606E"/>
    <w:rsid w:val="006E61F6"/>
    <w:rsid w:val="006E6579"/>
    <w:rsid w:val="006E69B1"/>
    <w:rsid w:val="006E6A10"/>
    <w:rsid w:val="006E6AA0"/>
    <w:rsid w:val="006E6B11"/>
    <w:rsid w:val="006E6BDF"/>
    <w:rsid w:val="006E6C43"/>
    <w:rsid w:val="006E6D20"/>
    <w:rsid w:val="006E6D7F"/>
    <w:rsid w:val="006E6E9E"/>
    <w:rsid w:val="006E6FB8"/>
    <w:rsid w:val="006E72DA"/>
    <w:rsid w:val="006E7390"/>
    <w:rsid w:val="006E7456"/>
    <w:rsid w:val="006E7622"/>
    <w:rsid w:val="006E7C2A"/>
    <w:rsid w:val="006E7D94"/>
    <w:rsid w:val="006E7E13"/>
    <w:rsid w:val="006E7F46"/>
    <w:rsid w:val="006E7FA8"/>
    <w:rsid w:val="006E7FAA"/>
    <w:rsid w:val="006F0361"/>
    <w:rsid w:val="006F0416"/>
    <w:rsid w:val="006F050A"/>
    <w:rsid w:val="006F0EE8"/>
    <w:rsid w:val="006F0F28"/>
    <w:rsid w:val="006F1221"/>
    <w:rsid w:val="006F1412"/>
    <w:rsid w:val="006F14C5"/>
    <w:rsid w:val="006F14F1"/>
    <w:rsid w:val="006F156D"/>
    <w:rsid w:val="006F181F"/>
    <w:rsid w:val="006F1B7E"/>
    <w:rsid w:val="006F1C61"/>
    <w:rsid w:val="006F2004"/>
    <w:rsid w:val="006F29D6"/>
    <w:rsid w:val="006F2A3D"/>
    <w:rsid w:val="006F2D79"/>
    <w:rsid w:val="006F2D7F"/>
    <w:rsid w:val="006F2E16"/>
    <w:rsid w:val="006F2F9C"/>
    <w:rsid w:val="006F364A"/>
    <w:rsid w:val="006F37F4"/>
    <w:rsid w:val="006F3C1C"/>
    <w:rsid w:val="006F402A"/>
    <w:rsid w:val="006F40FB"/>
    <w:rsid w:val="006F410B"/>
    <w:rsid w:val="006F42F6"/>
    <w:rsid w:val="006F4347"/>
    <w:rsid w:val="006F47EB"/>
    <w:rsid w:val="006F4933"/>
    <w:rsid w:val="006F495B"/>
    <w:rsid w:val="006F496E"/>
    <w:rsid w:val="006F4E82"/>
    <w:rsid w:val="006F4FFB"/>
    <w:rsid w:val="006F5374"/>
    <w:rsid w:val="006F5681"/>
    <w:rsid w:val="006F58F3"/>
    <w:rsid w:val="006F5EF0"/>
    <w:rsid w:val="006F6465"/>
    <w:rsid w:val="006F6B85"/>
    <w:rsid w:val="006F7031"/>
    <w:rsid w:val="006F72F0"/>
    <w:rsid w:val="006F7A3A"/>
    <w:rsid w:val="006F7F44"/>
    <w:rsid w:val="00700031"/>
    <w:rsid w:val="0070016F"/>
    <w:rsid w:val="00700348"/>
    <w:rsid w:val="0070037B"/>
    <w:rsid w:val="00700765"/>
    <w:rsid w:val="00700A7E"/>
    <w:rsid w:val="0070128A"/>
    <w:rsid w:val="00701FFC"/>
    <w:rsid w:val="00702304"/>
    <w:rsid w:val="00702398"/>
    <w:rsid w:val="00702619"/>
    <w:rsid w:val="0070271F"/>
    <w:rsid w:val="00702B31"/>
    <w:rsid w:val="0070317F"/>
    <w:rsid w:val="0070333B"/>
    <w:rsid w:val="007035B0"/>
    <w:rsid w:val="007035B2"/>
    <w:rsid w:val="007035DE"/>
    <w:rsid w:val="007036AE"/>
    <w:rsid w:val="00703770"/>
    <w:rsid w:val="0070378B"/>
    <w:rsid w:val="007039E0"/>
    <w:rsid w:val="00704595"/>
    <w:rsid w:val="00704C0C"/>
    <w:rsid w:val="00704CE5"/>
    <w:rsid w:val="00704F10"/>
    <w:rsid w:val="00705046"/>
    <w:rsid w:val="007050F3"/>
    <w:rsid w:val="00705295"/>
    <w:rsid w:val="00705735"/>
    <w:rsid w:val="00705916"/>
    <w:rsid w:val="00706016"/>
    <w:rsid w:val="007069DA"/>
    <w:rsid w:val="00706A0D"/>
    <w:rsid w:val="00706C1E"/>
    <w:rsid w:val="00706CFC"/>
    <w:rsid w:val="00706FDD"/>
    <w:rsid w:val="007071D7"/>
    <w:rsid w:val="00707218"/>
    <w:rsid w:val="007073A9"/>
    <w:rsid w:val="00707B0F"/>
    <w:rsid w:val="00707DA4"/>
    <w:rsid w:val="00707F0C"/>
    <w:rsid w:val="00710208"/>
    <w:rsid w:val="007105CC"/>
    <w:rsid w:val="0071062B"/>
    <w:rsid w:val="00710978"/>
    <w:rsid w:val="00710E6C"/>
    <w:rsid w:val="00710F68"/>
    <w:rsid w:val="0071106D"/>
    <w:rsid w:val="00711099"/>
    <w:rsid w:val="00711376"/>
    <w:rsid w:val="007113AE"/>
    <w:rsid w:val="00711796"/>
    <w:rsid w:val="00711C41"/>
    <w:rsid w:val="00711C8C"/>
    <w:rsid w:val="00711E9D"/>
    <w:rsid w:val="00712077"/>
    <w:rsid w:val="00712221"/>
    <w:rsid w:val="007122DD"/>
    <w:rsid w:val="007123FE"/>
    <w:rsid w:val="00712581"/>
    <w:rsid w:val="00712836"/>
    <w:rsid w:val="00712A97"/>
    <w:rsid w:val="00712DA9"/>
    <w:rsid w:val="00713056"/>
    <w:rsid w:val="007130A7"/>
    <w:rsid w:val="007133A9"/>
    <w:rsid w:val="00713FC9"/>
    <w:rsid w:val="007142C1"/>
    <w:rsid w:val="00714BC8"/>
    <w:rsid w:val="00714C90"/>
    <w:rsid w:val="00714F96"/>
    <w:rsid w:val="00715589"/>
    <w:rsid w:val="00715593"/>
    <w:rsid w:val="007159D8"/>
    <w:rsid w:val="00715A69"/>
    <w:rsid w:val="00715FA4"/>
    <w:rsid w:val="00716085"/>
    <w:rsid w:val="007166A8"/>
    <w:rsid w:val="00716AB3"/>
    <w:rsid w:val="00716BB1"/>
    <w:rsid w:val="00716BC4"/>
    <w:rsid w:val="00716BD6"/>
    <w:rsid w:val="00717140"/>
    <w:rsid w:val="0071737A"/>
    <w:rsid w:val="00717640"/>
    <w:rsid w:val="00717A3C"/>
    <w:rsid w:val="00717D06"/>
    <w:rsid w:val="00720382"/>
    <w:rsid w:val="007207DD"/>
    <w:rsid w:val="00720899"/>
    <w:rsid w:val="00720AE5"/>
    <w:rsid w:val="00720B9A"/>
    <w:rsid w:val="00721133"/>
    <w:rsid w:val="00721486"/>
    <w:rsid w:val="007215F8"/>
    <w:rsid w:val="0072177A"/>
    <w:rsid w:val="00721C7D"/>
    <w:rsid w:val="0072214B"/>
    <w:rsid w:val="00722AD9"/>
    <w:rsid w:val="00722B11"/>
    <w:rsid w:val="00722CCE"/>
    <w:rsid w:val="00722D3F"/>
    <w:rsid w:val="00722E66"/>
    <w:rsid w:val="007232D9"/>
    <w:rsid w:val="00723833"/>
    <w:rsid w:val="0072396E"/>
    <w:rsid w:val="00723B4E"/>
    <w:rsid w:val="00723C18"/>
    <w:rsid w:val="00723E0C"/>
    <w:rsid w:val="00723E27"/>
    <w:rsid w:val="00723ECD"/>
    <w:rsid w:val="00723F42"/>
    <w:rsid w:val="007240A1"/>
    <w:rsid w:val="0072449F"/>
    <w:rsid w:val="00724929"/>
    <w:rsid w:val="00724F16"/>
    <w:rsid w:val="00724F57"/>
    <w:rsid w:val="00724FB7"/>
    <w:rsid w:val="007254D7"/>
    <w:rsid w:val="007258DD"/>
    <w:rsid w:val="00725A2D"/>
    <w:rsid w:val="00725A84"/>
    <w:rsid w:val="00725C00"/>
    <w:rsid w:val="00726B84"/>
    <w:rsid w:val="00726CCD"/>
    <w:rsid w:val="00726DE5"/>
    <w:rsid w:val="007272C1"/>
    <w:rsid w:val="0072730E"/>
    <w:rsid w:val="0072751C"/>
    <w:rsid w:val="00730481"/>
    <w:rsid w:val="00730841"/>
    <w:rsid w:val="00730A9E"/>
    <w:rsid w:val="00730D9C"/>
    <w:rsid w:val="00730F79"/>
    <w:rsid w:val="0073100E"/>
    <w:rsid w:val="007311EC"/>
    <w:rsid w:val="007316FF"/>
    <w:rsid w:val="00731980"/>
    <w:rsid w:val="00731983"/>
    <w:rsid w:val="00731A91"/>
    <w:rsid w:val="00731BA1"/>
    <w:rsid w:val="0073207C"/>
    <w:rsid w:val="007326D2"/>
    <w:rsid w:val="007326D7"/>
    <w:rsid w:val="007329B9"/>
    <w:rsid w:val="00732EE3"/>
    <w:rsid w:val="00732FB0"/>
    <w:rsid w:val="00733485"/>
    <w:rsid w:val="0073365B"/>
    <w:rsid w:val="00733760"/>
    <w:rsid w:val="00733793"/>
    <w:rsid w:val="0073395B"/>
    <w:rsid w:val="00733E4A"/>
    <w:rsid w:val="00733E55"/>
    <w:rsid w:val="007344C4"/>
    <w:rsid w:val="0073457B"/>
    <w:rsid w:val="007349FE"/>
    <w:rsid w:val="00734B97"/>
    <w:rsid w:val="00734DC6"/>
    <w:rsid w:val="00734E54"/>
    <w:rsid w:val="0073573C"/>
    <w:rsid w:val="007357D5"/>
    <w:rsid w:val="00736015"/>
    <w:rsid w:val="0073627E"/>
    <w:rsid w:val="00736282"/>
    <w:rsid w:val="00736784"/>
    <w:rsid w:val="00736CDD"/>
    <w:rsid w:val="007370E7"/>
    <w:rsid w:val="00737243"/>
    <w:rsid w:val="00737310"/>
    <w:rsid w:val="007376BA"/>
    <w:rsid w:val="00737792"/>
    <w:rsid w:val="007378BD"/>
    <w:rsid w:val="00737F8E"/>
    <w:rsid w:val="007400E1"/>
    <w:rsid w:val="007400F6"/>
    <w:rsid w:val="0074058A"/>
    <w:rsid w:val="00740A34"/>
    <w:rsid w:val="00740BF0"/>
    <w:rsid w:val="00740E74"/>
    <w:rsid w:val="007410A2"/>
    <w:rsid w:val="007410D5"/>
    <w:rsid w:val="007410E0"/>
    <w:rsid w:val="00741A1F"/>
    <w:rsid w:val="00741FF5"/>
    <w:rsid w:val="0074215A"/>
    <w:rsid w:val="00742302"/>
    <w:rsid w:val="007423B9"/>
    <w:rsid w:val="0074246B"/>
    <w:rsid w:val="007425D5"/>
    <w:rsid w:val="00742BDB"/>
    <w:rsid w:val="00742DFA"/>
    <w:rsid w:val="007430C9"/>
    <w:rsid w:val="007431BD"/>
    <w:rsid w:val="00743564"/>
    <w:rsid w:val="00743628"/>
    <w:rsid w:val="00743A15"/>
    <w:rsid w:val="00743CCC"/>
    <w:rsid w:val="00743F22"/>
    <w:rsid w:val="00744389"/>
    <w:rsid w:val="007449C7"/>
    <w:rsid w:val="00744D0B"/>
    <w:rsid w:val="00745088"/>
    <w:rsid w:val="0074527D"/>
    <w:rsid w:val="00745604"/>
    <w:rsid w:val="00745C20"/>
    <w:rsid w:val="00745E11"/>
    <w:rsid w:val="00745E91"/>
    <w:rsid w:val="0074633D"/>
    <w:rsid w:val="0074638D"/>
    <w:rsid w:val="00746608"/>
    <w:rsid w:val="0074684E"/>
    <w:rsid w:val="00746950"/>
    <w:rsid w:val="00747176"/>
    <w:rsid w:val="007475E5"/>
    <w:rsid w:val="007477D3"/>
    <w:rsid w:val="00747A46"/>
    <w:rsid w:val="00747D11"/>
    <w:rsid w:val="00747D2B"/>
    <w:rsid w:val="00747F8C"/>
    <w:rsid w:val="00750725"/>
    <w:rsid w:val="00750AED"/>
    <w:rsid w:val="00750B06"/>
    <w:rsid w:val="00750DA9"/>
    <w:rsid w:val="00750E0E"/>
    <w:rsid w:val="00751548"/>
    <w:rsid w:val="007518B5"/>
    <w:rsid w:val="00751D0F"/>
    <w:rsid w:val="00751E9F"/>
    <w:rsid w:val="00752562"/>
    <w:rsid w:val="00752736"/>
    <w:rsid w:val="00752AFD"/>
    <w:rsid w:val="00752BF5"/>
    <w:rsid w:val="00752F41"/>
    <w:rsid w:val="00753359"/>
    <w:rsid w:val="00753890"/>
    <w:rsid w:val="00753C7B"/>
    <w:rsid w:val="00753D48"/>
    <w:rsid w:val="00753E8F"/>
    <w:rsid w:val="0075426E"/>
    <w:rsid w:val="0075445A"/>
    <w:rsid w:val="007544BF"/>
    <w:rsid w:val="00754A09"/>
    <w:rsid w:val="00754CF2"/>
    <w:rsid w:val="0075524D"/>
    <w:rsid w:val="007555C1"/>
    <w:rsid w:val="0075591D"/>
    <w:rsid w:val="00755943"/>
    <w:rsid w:val="00755F05"/>
    <w:rsid w:val="00755F34"/>
    <w:rsid w:val="007562C6"/>
    <w:rsid w:val="00756323"/>
    <w:rsid w:val="0075699F"/>
    <w:rsid w:val="00756ECE"/>
    <w:rsid w:val="007576C9"/>
    <w:rsid w:val="00757727"/>
    <w:rsid w:val="00757E8B"/>
    <w:rsid w:val="00760007"/>
    <w:rsid w:val="00760201"/>
    <w:rsid w:val="007602E8"/>
    <w:rsid w:val="007604E1"/>
    <w:rsid w:val="0076058F"/>
    <w:rsid w:val="0076090E"/>
    <w:rsid w:val="00760CDB"/>
    <w:rsid w:val="00760CF5"/>
    <w:rsid w:val="00760EB9"/>
    <w:rsid w:val="00760F83"/>
    <w:rsid w:val="007610EB"/>
    <w:rsid w:val="007610FE"/>
    <w:rsid w:val="00761473"/>
    <w:rsid w:val="007619F2"/>
    <w:rsid w:val="00761AF9"/>
    <w:rsid w:val="00761E97"/>
    <w:rsid w:val="007623FC"/>
    <w:rsid w:val="0076249E"/>
    <w:rsid w:val="007628AA"/>
    <w:rsid w:val="007628E7"/>
    <w:rsid w:val="007628F0"/>
    <w:rsid w:val="00763318"/>
    <w:rsid w:val="00763868"/>
    <w:rsid w:val="007642C5"/>
    <w:rsid w:val="00764603"/>
    <w:rsid w:val="00764639"/>
    <w:rsid w:val="007649F6"/>
    <w:rsid w:val="00764BDE"/>
    <w:rsid w:val="00764D46"/>
    <w:rsid w:val="00765B62"/>
    <w:rsid w:val="00765C4A"/>
    <w:rsid w:val="00765CB7"/>
    <w:rsid w:val="00765E80"/>
    <w:rsid w:val="00765FD9"/>
    <w:rsid w:val="00766177"/>
    <w:rsid w:val="007662EE"/>
    <w:rsid w:val="0076652F"/>
    <w:rsid w:val="007666C3"/>
    <w:rsid w:val="00766BC4"/>
    <w:rsid w:val="00766C83"/>
    <w:rsid w:val="00766DAD"/>
    <w:rsid w:val="00767335"/>
    <w:rsid w:val="00767E15"/>
    <w:rsid w:val="00767EFF"/>
    <w:rsid w:val="007701B5"/>
    <w:rsid w:val="007701C2"/>
    <w:rsid w:val="00770242"/>
    <w:rsid w:val="007703C7"/>
    <w:rsid w:val="00770806"/>
    <w:rsid w:val="007708B7"/>
    <w:rsid w:val="00770A3B"/>
    <w:rsid w:val="00771339"/>
    <w:rsid w:val="00771525"/>
    <w:rsid w:val="007716B7"/>
    <w:rsid w:val="00771723"/>
    <w:rsid w:val="00771A00"/>
    <w:rsid w:val="00771BA3"/>
    <w:rsid w:val="00771BCE"/>
    <w:rsid w:val="00771D95"/>
    <w:rsid w:val="00771E4F"/>
    <w:rsid w:val="00771E88"/>
    <w:rsid w:val="00771F70"/>
    <w:rsid w:val="007721AE"/>
    <w:rsid w:val="00772515"/>
    <w:rsid w:val="00772891"/>
    <w:rsid w:val="00772E2B"/>
    <w:rsid w:val="007734CD"/>
    <w:rsid w:val="007735D8"/>
    <w:rsid w:val="00773C1B"/>
    <w:rsid w:val="00773CA0"/>
    <w:rsid w:val="00773D7B"/>
    <w:rsid w:val="00773F2F"/>
    <w:rsid w:val="00773FDD"/>
    <w:rsid w:val="00774951"/>
    <w:rsid w:val="007749A9"/>
    <w:rsid w:val="00774B76"/>
    <w:rsid w:val="00774C18"/>
    <w:rsid w:val="00774E17"/>
    <w:rsid w:val="00774E24"/>
    <w:rsid w:val="00775136"/>
    <w:rsid w:val="0077531C"/>
    <w:rsid w:val="007754BA"/>
    <w:rsid w:val="00775529"/>
    <w:rsid w:val="007756CD"/>
    <w:rsid w:val="00775906"/>
    <w:rsid w:val="007759A6"/>
    <w:rsid w:val="00775B9B"/>
    <w:rsid w:val="00775BE7"/>
    <w:rsid w:val="00775E35"/>
    <w:rsid w:val="00776446"/>
    <w:rsid w:val="00776579"/>
    <w:rsid w:val="007765F2"/>
    <w:rsid w:val="00776A14"/>
    <w:rsid w:val="00776AA6"/>
    <w:rsid w:val="00776BE0"/>
    <w:rsid w:val="00776C63"/>
    <w:rsid w:val="00776F0D"/>
    <w:rsid w:val="00777216"/>
    <w:rsid w:val="0077741E"/>
    <w:rsid w:val="00777561"/>
    <w:rsid w:val="0077786B"/>
    <w:rsid w:val="00777923"/>
    <w:rsid w:val="00780051"/>
    <w:rsid w:val="007800DD"/>
    <w:rsid w:val="0078021C"/>
    <w:rsid w:val="0078031F"/>
    <w:rsid w:val="007803EF"/>
    <w:rsid w:val="007804BD"/>
    <w:rsid w:val="00780842"/>
    <w:rsid w:val="00780AB5"/>
    <w:rsid w:val="00780C84"/>
    <w:rsid w:val="00780F18"/>
    <w:rsid w:val="007816F7"/>
    <w:rsid w:val="00781ACC"/>
    <w:rsid w:val="00781BA4"/>
    <w:rsid w:val="00781C83"/>
    <w:rsid w:val="0078242C"/>
    <w:rsid w:val="007825C0"/>
    <w:rsid w:val="007827BD"/>
    <w:rsid w:val="00782F3D"/>
    <w:rsid w:val="0078351F"/>
    <w:rsid w:val="00783E65"/>
    <w:rsid w:val="00783F39"/>
    <w:rsid w:val="0078431C"/>
    <w:rsid w:val="0078495A"/>
    <w:rsid w:val="00784B7C"/>
    <w:rsid w:val="00784E0A"/>
    <w:rsid w:val="00784ED0"/>
    <w:rsid w:val="007851F2"/>
    <w:rsid w:val="00785794"/>
    <w:rsid w:val="00785E4E"/>
    <w:rsid w:val="00785E50"/>
    <w:rsid w:val="007866BB"/>
    <w:rsid w:val="00786714"/>
    <w:rsid w:val="0078691C"/>
    <w:rsid w:val="00786A2E"/>
    <w:rsid w:val="007870A5"/>
    <w:rsid w:val="00787570"/>
    <w:rsid w:val="007878DE"/>
    <w:rsid w:val="007878EF"/>
    <w:rsid w:val="00787D7E"/>
    <w:rsid w:val="00787DEE"/>
    <w:rsid w:val="00787EED"/>
    <w:rsid w:val="00787FC8"/>
    <w:rsid w:val="00787FE4"/>
    <w:rsid w:val="00790102"/>
    <w:rsid w:val="00790419"/>
    <w:rsid w:val="00790D60"/>
    <w:rsid w:val="00790EA3"/>
    <w:rsid w:val="0079117C"/>
    <w:rsid w:val="0079122B"/>
    <w:rsid w:val="00791275"/>
    <w:rsid w:val="007913DD"/>
    <w:rsid w:val="007913F3"/>
    <w:rsid w:val="00791696"/>
    <w:rsid w:val="00791A42"/>
    <w:rsid w:val="00791BAE"/>
    <w:rsid w:val="00791F0B"/>
    <w:rsid w:val="00791F37"/>
    <w:rsid w:val="007921D6"/>
    <w:rsid w:val="0079247A"/>
    <w:rsid w:val="00792C26"/>
    <w:rsid w:val="00792C3D"/>
    <w:rsid w:val="00792CF4"/>
    <w:rsid w:val="00792EEF"/>
    <w:rsid w:val="00792F0C"/>
    <w:rsid w:val="00793012"/>
    <w:rsid w:val="00793158"/>
    <w:rsid w:val="0079333C"/>
    <w:rsid w:val="0079347E"/>
    <w:rsid w:val="007937A8"/>
    <w:rsid w:val="00793855"/>
    <w:rsid w:val="0079395A"/>
    <w:rsid w:val="00793B58"/>
    <w:rsid w:val="00793CE5"/>
    <w:rsid w:val="00794174"/>
    <w:rsid w:val="00794219"/>
    <w:rsid w:val="007942D2"/>
    <w:rsid w:val="00794374"/>
    <w:rsid w:val="007947E1"/>
    <w:rsid w:val="00794D5D"/>
    <w:rsid w:val="00795281"/>
    <w:rsid w:val="007959E4"/>
    <w:rsid w:val="00795A4D"/>
    <w:rsid w:val="00795C64"/>
    <w:rsid w:val="00795CE8"/>
    <w:rsid w:val="007960B9"/>
    <w:rsid w:val="007962C7"/>
    <w:rsid w:val="00796762"/>
    <w:rsid w:val="00796D94"/>
    <w:rsid w:val="00796EC8"/>
    <w:rsid w:val="00796F80"/>
    <w:rsid w:val="0079700A"/>
    <w:rsid w:val="00797036"/>
    <w:rsid w:val="00797574"/>
    <w:rsid w:val="00797634"/>
    <w:rsid w:val="0079788A"/>
    <w:rsid w:val="00797E83"/>
    <w:rsid w:val="007A01FC"/>
    <w:rsid w:val="007A0240"/>
    <w:rsid w:val="007A03C0"/>
    <w:rsid w:val="007A0450"/>
    <w:rsid w:val="007A0AC4"/>
    <w:rsid w:val="007A0DAB"/>
    <w:rsid w:val="007A105D"/>
    <w:rsid w:val="007A10A4"/>
    <w:rsid w:val="007A1182"/>
    <w:rsid w:val="007A11A7"/>
    <w:rsid w:val="007A1511"/>
    <w:rsid w:val="007A18A9"/>
    <w:rsid w:val="007A1B94"/>
    <w:rsid w:val="007A1C01"/>
    <w:rsid w:val="007A1E2D"/>
    <w:rsid w:val="007A2031"/>
    <w:rsid w:val="007A2302"/>
    <w:rsid w:val="007A236E"/>
    <w:rsid w:val="007A2657"/>
    <w:rsid w:val="007A267A"/>
    <w:rsid w:val="007A2C90"/>
    <w:rsid w:val="007A2E83"/>
    <w:rsid w:val="007A2EC6"/>
    <w:rsid w:val="007A2F19"/>
    <w:rsid w:val="007A2FD2"/>
    <w:rsid w:val="007A3869"/>
    <w:rsid w:val="007A3FCC"/>
    <w:rsid w:val="007A4824"/>
    <w:rsid w:val="007A4968"/>
    <w:rsid w:val="007A4A8F"/>
    <w:rsid w:val="007A4C9A"/>
    <w:rsid w:val="007A5202"/>
    <w:rsid w:val="007A5C81"/>
    <w:rsid w:val="007A5CA4"/>
    <w:rsid w:val="007A5DA1"/>
    <w:rsid w:val="007A5E1D"/>
    <w:rsid w:val="007A600F"/>
    <w:rsid w:val="007A6499"/>
    <w:rsid w:val="007A65D8"/>
    <w:rsid w:val="007A6657"/>
    <w:rsid w:val="007A6729"/>
    <w:rsid w:val="007A68C2"/>
    <w:rsid w:val="007A6C2F"/>
    <w:rsid w:val="007A6D8A"/>
    <w:rsid w:val="007A6ED2"/>
    <w:rsid w:val="007A7A03"/>
    <w:rsid w:val="007A7AA3"/>
    <w:rsid w:val="007A7AC0"/>
    <w:rsid w:val="007A7BFD"/>
    <w:rsid w:val="007A7F5D"/>
    <w:rsid w:val="007B075B"/>
    <w:rsid w:val="007B09BB"/>
    <w:rsid w:val="007B0ED1"/>
    <w:rsid w:val="007B1115"/>
    <w:rsid w:val="007B1254"/>
    <w:rsid w:val="007B1736"/>
    <w:rsid w:val="007B18E0"/>
    <w:rsid w:val="007B196B"/>
    <w:rsid w:val="007B1B07"/>
    <w:rsid w:val="007B1C7E"/>
    <w:rsid w:val="007B1F19"/>
    <w:rsid w:val="007B213C"/>
    <w:rsid w:val="007B258D"/>
    <w:rsid w:val="007B25CB"/>
    <w:rsid w:val="007B2A3E"/>
    <w:rsid w:val="007B3138"/>
    <w:rsid w:val="007B32A6"/>
    <w:rsid w:val="007B3447"/>
    <w:rsid w:val="007B354C"/>
    <w:rsid w:val="007B358F"/>
    <w:rsid w:val="007B3B90"/>
    <w:rsid w:val="007B3C25"/>
    <w:rsid w:val="007B44C1"/>
    <w:rsid w:val="007B529F"/>
    <w:rsid w:val="007B5862"/>
    <w:rsid w:val="007B598A"/>
    <w:rsid w:val="007B5A83"/>
    <w:rsid w:val="007B5D55"/>
    <w:rsid w:val="007B620A"/>
    <w:rsid w:val="007B684B"/>
    <w:rsid w:val="007B69E7"/>
    <w:rsid w:val="007B6D62"/>
    <w:rsid w:val="007B7315"/>
    <w:rsid w:val="007B7635"/>
    <w:rsid w:val="007B765D"/>
    <w:rsid w:val="007B76ED"/>
    <w:rsid w:val="007B78FB"/>
    <w:rsid w:val="007B7933"/>
    <w:rsid w:val="007B7B52"/>
    <w:rsid w:val="007C024A"/>
    <w:rsid w:val="007C0526"/>
    <w:rsid w:val="007C0638"/>
    <w:rsid w:val="007C0F3E"/>
    <w:rsid w:val="007C12C1"/>
    <w:rsid w:val="007C1711"/>
    <w:rsid w:val="007C1941"/>
    <w:rsid w:val="007C194E"/>
    <w:rsid w:val="007C1BBF"/>
    <w:rsid w:val="007C1D36"/>
    <w:rsid w:val="007C1E8F"/>
    <w:rsid w:val="007C2036"/>
    <w:rsid w:val="007C208D"/>
    <w:rsid w:val="007C234D"/>
    <w:rsid w:val="007C2646"/>
    <w:rsid w:val="007C27C0"/>
    <w:rsid w:val="007C2A01"/>
    <w:rsid w:val="007C2C53"/>
    <w:rsid w:val="007C2E12"/>
    <w:rsid w:val="007C2E21"/>
    <w:rsid w:val="007C2F06"/>
    <w:rsid w:val="007C3160"/>
    <w:rsid w:val="007C33CC"/>
    <w:rsid w:val="007C3769"/>
    <w:rsid w:val="007C3781"/>
    <w:rsid w:val="007C387B"/>
    <w:rsid w:val="007C3A18"/>
    <w:rsid w:val="007C3CEE"/>
    <w:rsid w:val="007C40CA"/>
    <w:rsid w:val="007C40CD"/>
    <w:rsid w:val="007C45F8"/>
    <w:rsid w:val="007C4A16"/>
    <w:rsid w:val="007C4AB2"/>
    <w:rsid w:val="007C4BF1"/>
    <w:rsid w:val="007C4C91"/>
    <w:rsid w:val="007C4D15"/>
    <w:rsid w:val="007C4E1A"/>
    <w:rsid w:val="007C4E3B"/>
    <w:rsid w:val="007C5229"/>
    <w:rsid w:val="007C52C1"/>
    <w:rsid w:val="007C536F"/>
    <w:rsid w:val="007C5B09"/>
    <w:rsid w:val="007C5D4C"/>
    <w:rsid w:val="007C63EB"/>
    <w:rsid w:val="007C65ED"/>
    <w:rsid w:val="007C692C"/>
    <w:rsid w:val="007C6ABB"/>
    <w:rsid w:val="007C6EDA"/>
    <w:rsid w:val="007C7083"/>
    <w:rsid w:val="007C71C5"/>
    <w:rsid w:val="007D047A"/>
    <w:rsid w:val="007D05A9"/>
    <w:rsid w:val="007D0D0D"/>
    <w:rsid w:val="007D11F2"/>
    <w:rsid w:val="007D14D4"/>
    <w:rsid w:val="007D1722"/>
    <w:rsid w:val="007D18E9"/>
    <w:rsid w:val="007D1C36"/>
    <w:rsid w:val="007D1CF1"/>
    <w:rsid w:val="007D1FDC"/>
    <w:rsid w:val="007D2AE6"/>
    <w:rsid w:val="007D2B34"/>
    <w:rsid w:val="007D2C21"/>
    <w:rsid w:val="007D2CC5"/>
    <w:rsid w:val="007D2E5E"/>
    <w:rsid w:val="007D2E73"/>
    <w:rsid w:val="007D2E78"/>
    <w:rsid w:val="007D31B9"/>
    <w:rsid w:val="007D3282"/>
    <w:rsid w:val="007D360A"/>
    <w:rsid w:val="007D3625"/>
    <w:rsid w:val="007D38CF"/>
    <w:rsid w:val="007D3E86"/>
    <w:rsid w:val="007D4DA6"/>
    <w:rsid w:val="007D54E2"/>
    <w:rsid w:val="007D5ACD"/>
    <w:rsid w:val="007D5AEF"/>
    <w:rsid w:val="007D5B0B"/>
    <w:rsid w:val="007D5B47"/>
    <w:rsid w:val="007D5C63"/>
    <w:rsid w:val="007D6485"/>
    <w:rsid w:val="007D64E7"/>
    <w:rsid w:val="007D668B"/>
    <w:rsid w:val="007D69BE"/>
    <w:rsid w:val="007D6B96"/>
    <w:rsid w:val="007D6CF6"/>
    <w:rsid w:val="007D7036"/>
    <w:rsid w:val="007D70E0"/>
    <w:rsid w:val="007D720F"/>
    <w:rsid w:val="007D724D"/>
    <w:rsid w:val="007D72BF"/>
    <w:rsid w:val="007D739A"/>
    <w:rsid w:val="007D73E4"/>
    <w:rsid w:val="007E0128"/>
    <w:rsid w:val="007E042C"/>
    <w:rsid w:val="007E05EF"/>
    <w:rsid w:val="007E14AA"/>
    <w:rsid w:val="007E15AD"/>
    <w:rsid w:val="007E1636"/>
    <w:rsid w:val="007E1860"/>
    <w:rsid w:val="007E1CE4"/>
    <w:rsid w:val="007E2123"/>
    <w:rsid w:val="007E2132"/>
    <w:rsid w:val="007E2348"/>
    <w:rsid w:val="007E2C55"/>
    <w:rsid w:val="007E305C"/>
    <w:rsid w:val="007E30CC"/>
    <w:rsid w:val="007E3112"/>
    <w:rsid w:val="007E327C"/>
    <w:rsid w:val="007E3E51"/>
    <w:rsid w:val="007E43FF"/>
    <w:rsid w:val="007E440D"/>
    <w:rsid w:val="007E44F1"/>
    <w:rsid w:val="007E4585"/>
    <w:rsid w:val="007E48A3"/>
    <w:rsid w:val="007E49A9"/>
    <w:rsid w:val="007E49D2"/>
    <w:rsid w:val="007E4A6A"/>
    <w:rsid w:val="007E4B26"/>
    <w:rsid w:val="007E4B42"/>
    <w:rsid w:val="007E4C3A"/>
    <w:rsid w:val="007E557F"/>
    <w:rsid w:val="007E56EA"/>
    <w:rsid w:val="007E578B"/>
    <w:rsid w:val="007E57CA"/>
    <w:rsid w:val="007E5A19"/>
    <w:rsid w:val="007E5BF4"/>
    <w:rsid w:val="007E608E"/>
    <w:rsid w:val="007E62C3"/>
    <w:rsid w:val="007E6883"/>
    <w:rsid w:val="007E6D33"/>
    <w:rsid w:val="007E6D6B"/>
    <w:rsid w:val="007E6D83"/>
    <w:rsid w:val="007E72CD"/>
    <w:rsid w:val="007E74B3"/>
    <w:rsid w:val="007E74CC"/>
    <w:rsid w:val="007E753C"/>
    <w:rsid w:val="007E77F4"/>
    <w:rsid w:val="007E7964"/>
    <w:rsid w:val="007E7B1F"/>
    <w:rsid w:val="007F0242"/>
    <w:rsid w:val="007F02D4"/>
    <w:rsid w:val="007F0CA0"/>
    <w:rsid w:val="007F0D6A"/>
    <w:rsid w:val="007F0F4F"/>
    <w:rsid w:val="007F10B9"/>
    <w:rsid w:val="007F13B3"/>
    <w:rsid w:val="007F13F8"/>
    <w:rsid w:val="007F144D"/>
    <w:rsid w:val="007F1766"/>
    <w:rsid w:val="007F1C1B"/>
    <w:rsid w:val="007F24FA"/>
    <w:rsid w:val="007F2A03"/>
    <w:rsid w:val="007F2DC4"/>
    <w:rsid w:val="007F3960"/>
    <w:rsid w:val="007F3B5D"/>
    <w:rsid w:val="007F459A"/>
    <w:rsid w:val="007F4E2D"/>
    <w:rsid w:val="007F50C5"/>
    <w:rsid w:val="007F515E"/>
    <w:rsid w:val="007F51A1"/>
    <w:rsid w:val="007F5307"/>
    <w:rsid w:val="007F55B3"/>
    <w:rsid w:val="007F56CB"/>
    <w:rsid w:val="007F59A5"/>
    <w:rsid w:val="007F5B77"/>
    <w:rsid w:val="007F5EB1"/>
    <w:rsid w:val="007F5F6F"/>
    <w:rsid w:val="007F6439"/>
    <w:rsid w:val="007F64BD"/>
    <w:rsid w:val="007F6E61"/>
    <w:rsid w:val="007F70D1"/>
    <w:rsid w:val="007F7BF6"/>
    <w:rsid w:val="007F7F78"/>
    <w:rsid w:val="008000EA"/>
    <w:rsid w:val="008001AA"/>
    <w:rsid w:val="00800360"/>
    <w:rsid w:val="0080040E"/>
    <w:rsid w:val="0080050F"/>
    <w:rsid w:val="008008E8"/>
    <w:rsid w:val="00800943"/>
    <w:rsid w:val="00800E16"/>
    <w:rsid w:val="00801235"/>
    <w:rsid w:val="00801314"/>
    <w:rsid w:val="0080141F"/>
    <w:rsid w:val="0080147E"/>
    <w:rsid w:val="0080168D"/>
    <w:rsid w:val="00801B41"/>
    <w:rsid w:val="00801D9F"/>
    <w:rsid w:val="00801E94"/>
    <w:rsid w:val="00801EE7"/>
    <w:rsid w:val="008023CB"/>
    <w:rsid w:val="0080253C"/>
    <w:rsid w:val="0080258C"/>
    <w:rsid w:val="00802591"/>
    <w:rsid w:val="00802727"/>
    <w:rsid w:val="00802AFA"/>
    <w:rsid w:val="00802C18"/>
    <w:rsid w:val="00802CAE"/>
    <w:rsid w:val="00802D02"/>
    <w:rsid w:val="00802D65"/>
    <w:rsid w:val="00802D6E"/>
    <w:rsid w:val="008031F1"/>
    <w:rsid w:val="0080362B"/>
    <w:rsid w:val="008037AB"/>
    <w:rsid w:val="008038D1"/>
    <w:rsid w:val="00803BAB"/>
    <w:rsid w:val="00803C77"/>
    <w:rsid w:val="00803CAD"/>
    <w:rsid w:val="00803FBC"/>
    <w:rsid w:val="008041DE"/>
    <w:rsid w:val="008044F3"/>
    <w:rsid w:val="0080487E"/>
    <w:rsid w:val="008048E8"/>
    <w:rsid w:val="00804955"/>
    <w:rsid w:val="00804BD5"/>
    <w:rsid w:val="00805124"/>
    <w:rsid w:val="008051EE"/>
    <w:rsid w:val="0080575B"/>
    <w:rsid w:val="00805770"/>
    <w:rsid w:val="0080589B"/>
    <w:rsid w:val="00805AAD"/>
    <w:rsid w:val="00805B5F"/>
    <w:rsid w:val="00805D5B"/>
    <w:rsid w:val="00805E7F"/>
    <w:rsid w:val="0080619F"/>
    <w:rsid w:val="008061A4"/>
    <w:rsid w:val="00806315"/>
    <w:rsid w:val="0080640D"/>
    <w:rsid w:val="00807040"/>
    <w:rsid w:val="00807203"/>
    <w:rsid w:val="008074F4"/>
    <w:rsid w:val="00807C3A"/>
    <w:rsid w:val="00807CD3"/>
    <w:rsid w:val="00807ED9"/>
    <w:rsid w:val="00810109"/>
    <w:rsid w:val="008103FD"/>
    <w:rsid w:val="008109B9"/>
    <w:rsid w:val="00810BE6"/>
    <w:rsid w:val="00810CA7"/>
    <w:rsid w:val="008112D7"/>
    <w:rsid w:val="00811333"/>
    <w:rsid w:val="00811606"/>
    <w:rsid w:val="0081167D"/>
    <w:rsid w:val="00811A96"/>
    <w:rsid w:val="00812012"/>
    <w:rsid w:val="00812530"/>
    <w:rsid w:val="00812555"/>
    <w:rsid w:val="008125D7"/>
    <w:rsid w:val="008126E3"/>
    <w:rsid w:val="00812BC8"/>
    <w:rsid w:val="00812C76"/>
    <w:rsid w:val="00812DB4"/>
    <w:rsid w:val="00812E5C"/>
    <w:rsid w:val="00812E5D"/>
    <w:rsid w:val="00812F55"/>
    <w:rsid w:val="0081304A"/>
    <w:rsid w:val="00813054"/>
    <w:rsid w:val="0081331F"/>
    <w:rsid w:val="008136AF"/>
    <w:rsid w:val="00813964"/>
    <w:rsid w:val="00813BBD"/>
    <w:rsid w:val="00813C0E"/>
    <w:rsid w:val="00814003"/>
    <w:rsid w:val="00814089"/>
    <w:rsid w:val="00814702"/>
    <w:rsid w:val="0081474E"/>
    <w:rsid w:val="00814940"/>
    <w:rsid w:val="00814E37"/>
    <w:rsid w:val="00814FA6"/>
    <w:rsid w:val="00814FC5"/>
    <w:rsid w:val="008154B6"/>
    <w:rsid w:val="008154DC"/>
    <w:rsid w:val="008158EF"/>
    <w:rsid w:val="00815B15"/>
    <w:rsid w:val="00815BA2"/>
    <w:rsid w:val="00815BF7"/>
    <w:rsid w:val="00815C81"/>
    <w:rsid w:val="00815D1E"/>
    <w:rsid w:val="00815D4C"/>
    <w:rsid w:val="00815D69"/>
    <w:rsid w:val="00816349"/>
    <w:rsid w:val="00816384"/>
    <w:rsid w:val="00816498"/>
    <w:rsid w:val="00816506"/>
    <w:rsid w:val="0081687D"/>
    <w:rsid w:val="008168F3"/>
    <w:rsid w:val="00816BE4"/>
    <w:rsid w:val="00816D7C"/>
    <w:rsid w:val="00816E76"/>
    <w:rsid w:val="0081751D"/>
    <w:rsid w:val="008178BB"/>
    <w:rsid w:val="00817A6A"/>
    <w:rsid w:val="00817BF8"/>
    <w:rsid w:val="00817C88"/>
    <w:rsid w:val="00817FAF"/>
    <w:rsid w:val="008206A4"/>
    <w:rsid w:val="008206BA"/>
    <w:rsid w:val="008208FF"/>
    <w:rsid w:val="008209AF"/>
    <w:rsid w:val="008209B5"/>
    <w:rsid w:val="00820A39"/>
    <w:rsid w:val="00820CFB"/>
    <w:rsid w:val="00820DAA"/>
    <w:rsid w:val="00820EBC"/>
    <w:rsid w:val="00821578"/>
    <w:rsid w:val="00821869"/>
    <w:rsid w:val="00821A9D"/>
    <w:rsid w:val="00822493"/>
    <w:rsid w:val="00822546"/>
    <w:rsid w:val="0082262A"/>
    <w:rsid w:val="00822850"/>
    <w:rsid w:val="00822A06"/>
    <w:rsid w:val="00822BED"/>
    <w:rsid w:val="0082356F"/>
    <w:rsid w:val="00823657"/>
    <w:rsid w:val="0082367F"/>
    <w:rsid w:val="00823683"/>
    <w:rsid w:val="00823C8A"/>
    <w:rsid w:val="00823CFD"/>
    <w:rsid w:val="00824242"/>
    <w:rsid w:val="00824450"/>
    <w:rsid w:val="00824569"/>
    <w:rsid w:val="0082484D"/>
    <w:rsid w:val="00824CD0"/>
    <w:rsid w:val="00824DDB"/>
    <w:rsid w:val="00824E07"/>
    <w:rsid w:val="008251F8"/>
    <w:rsid w:val="008253FB"/>
    <w:rsid w:val="00825450"/>
    <w:rsid w:val="0082572D"/>
    <w:rsid w:val="008257C8"/>
    <w:rsid w:val="0082595C"/>
    <w:rsid w:val="008259F5"/>
    <w:rsid w:val="00825B1C"/>
    <w:rsid w:val="00825B55"/>
    <w:rsid w:val="0082609B"/>
    <w:rsid w:val="0082622E"/>
    <w:rsid w:val="00826B69"/>
    <w:rsid w:val="00826CC1"/>
    <w:rsid w:val="00826CDF"/>
    <w:rsid w:val="00826EE8"/>
    <w:rsid w:val="008277D4"/>
    <w:rsid w:val="00827F18"/>
    <w:rsid w:val="00830054"/>
    <w:rsid w:val="008300E7"/>
    <w:rsid w:val="008307E1"/>
    <w:rsid w:val="008310BB"/>
    <w:rsid w:val="008312B4"/>
    <w:rsid w:val="00831A5B"/>
    <w:rsid w:val="00831B81"/>
    <w:rsid w:val="00831EF5"/>
    <w:rsid w:val="008321A9"/>
    <w:rsid w:val="00832204"/>
    <w:rsid w:val="00832227"/>
    <w:rsid w:val="0083228B"/>
    <w:rsid w:val="008328A5"/>
    <w:rsid w:val="008331BD"/>
    <w:rsid w:val="0083324A"/>
    <w:rsid w:val="008335A6"/>
    <w:rsid w:val="00833AC5"/>
    <w:rsid w:val="00833AE5"/>
    <w:rsid w:val="00833C3D"/>
    <w:rsid w:val="00833CD4"/>
    <w:rsid w:val="00833E30"/>
    <w:rsid w:val="0083440E"/>
    <w:rsid w:val="00834833"/>
    <w:rsid w:val="00834AD5"/>
    <w:rsid w:val="00834F47"/>
    <w:rsid w:val="00835552"/>
    <w:rsid w:val="008356D0"/>
    <w:rsid w:val="00835748"/>
    <w:rsid w:val="008357B6"/>
    <w:rsid w:val="0083587E"/>
    <w:rsid w:val="00835AFC"/>
    <w:rsid w:val="00835BCF"/>
    <w:rsid w:val="00835C28"/>
    <w:rsid w:val="00835C37"/>
    <w:rsid w:val="00835DDB"/>
    <w:rsid w:val="00836041"/>
    <w:rsid w:val="008360B8"/>
    <w:rsid w:val="008368CB"/>
    <w:rsid w:val="00836E39"/>
    <w:rsid w:val="00837329"/>
    <w:rsid w:val="00837649"/>
    <w:rsid w:val="0083764A"/>
    <w:rsid w:val="00837747"/>
    <w:rsid w:val="00837B71"/>
    <w:rsid w:val="00837BDF"/>
    <w:rsid w:val="00837D04"/>
    <w:rsid w:val="008402B4"/>
    <w:rsid w:val="008404B0"/>
    <w:rsid w:val="0084062B"/>
    <w:rsid w:val="008406ED"/>
    <w:rsid w:val="00840903"/>
    <w:rsid w:val="00840C04"/>
    <w:rsid w:val="00840EF6"/>
    <w:rsid w:val="00840F07"/>
    <w:rsid w:val="00841489"/>
    <w:rsid w:val="0084174B"/>
    <w:rsid w:val="0084226B"/>
    <w:rsid w:val="00842290"/>
    <w:rsid w:val="00842736"/>
    <w:rsid w:val="008429C9"/>
    <w:rsid w:val="00842C38"/>
    <w:rsid w:val="00842FD2"/>
    <w:rsid w:val="00843862"/>
    <w:rsid w:val="00843F14"/>
    <w:rsid w:val="00843F9F"/>
    <w:rsid w:val="0084416F"/>
    <w:rsid w:val="00844235"/>
    <w:rsid w:val="00844456"/>
    <w:rsid w:val="00844892"/>
    <w:rsid w:val="00844A1D"/>
    <w:rsid w:val="00844A93"/>
    <w:rsid w:val="00844B34"/>
    <w:rsid w:val="00844B38"/>
    <w:rsid w:val="00844DFD"/>
    <w:rsid w:val="00844EE3"/>
    <w:rsid w:val="0084522D"/>
    <w:rsid w:val="0084549F"/>
    <w:rsid w:val="00845538"/>
    <w:rsid w:val="00845654"/>
    <w:rsid w:val="00846312"/>
    <w:rsid w:val="00846362"/>
    <w:rsid w:val="00846B45"/>
    <w:rsid w:val="00846C32"/>
    <w:rsid w:val="00846D15"/>
    <w:rsid w:val="00846DA4"/>
    <w:rsid w:val="00846DA5"/>
    <w:rsid w:val="00846DF3"/>
    <w:rsid w:val="0084797B"/>
    <w:rsid w:val="008479BA"/>
    <w:rsid w:val="00847B50"/>
    <w:rsid w:val="00847BCB"/>
    <w:rsid w:val="00847E40"/>
    <w:rsid w:val="0085008E"/>
    <w:rsid w:val="00850248"/>
    <w:rsid w:val="00850296"/>
    <w:rsid w:val="0085057D"/>
    <w:rsid w:val="00850581"/>
    <w:rsid w:val="00850881"/>
    <w:rsid w:val="00850C0A"/>
    <w:rsid w:val="00851177"/>
    <w:rsid w:val="00851494"/>
    <w:rsid w:val="00851726"/>
    <w:rsid w:val="00851C80"/>
    <w:rsid w:val="00852231"/>
    <w:rsid w:val="008523F4"/>
    <w:rsid w:val="008524AD"/>
    <w:rsid w:val="00852592"/>
    <w:rsid w:val="008525AA"/>
    <w:rsid w:val="008527C4"/>
    <w:rsid w:val="00852A40"/>
    <w:rsid w:val="00852B3B"/>
    <w:rsid w:val="00852E6F"/>
    <w:rsid w:val="008532EA"/>
    <w:rsid w:val="0085340D"/>
    <w:rsid w:val="00853523"/>
    <w:rsid w:val="00853576"/>
    <w:rsid w:val="00853850"/>
    <w:rsid w:val="00853865"/>
    <w:rsid w:val="00853AC5"/>
    <w:rsid w:val="00853C41"/>
    <w:rsid w:val="00853EA8"/>
    <w:rsid w:val="00853FF9"/>
    <w:rsid w:val="008541B2"/>
    <w:rsid w:val="008542EA"/>
    <w:rsid w:val="0085430F"/>
    <w:rsid w:val="00854326"/>
    <w:rsid w:val="008545FE"/>
    <w:rsid w:val="0085475A"/>
    <w:rsid w:val="00854E84"/>
    <w:rsid w:val="00854ED6"/>
    <w:rsid w:val="00854EF8"/>
    <w:rsid w:val="0085508B"/>
    <w:rsid w:val="008551B1"/>
    <w:rsid w:val="008556F8"/>
    <w:rsid w:val="00855B38"/>
    <w:rsid w:val="00856766"/>
    <w:rsid w:val="008568FF"/>
    <w:rsid w:val="00856AEC"/>
    <w:rsid w:val="00856BEF"/>
    <w:rsid w:val="00857080"/>
    <w:rsid w:val="008576E6"/>
    <w:rsid w:val="00857AE7"/>
    <w:rsid w:val="00857AFD"/>
    <w:rsid w:val="00860237"/>
    <w:rsid w:val="00860411"/>
    <w:rsid w:val="0086054C"/>
    <w:rsid w:val="0086056B"/>
    <w:rsid w:val="00860644"/>
    <w:rsid w:val="008606A0"/>
    <w:rsid w:val="008606D7"/>
    <w:rsid w:val="00860763"/>
    <w:rsid w:val="008607F9"/>
    <w:rsid w:val="00860856"/>
    <w:rsid w:val="00860CBD"/>
    <w:rsid w:val="008613B2"/>
    <w:rsid w:val="00861600"/>
    <w:rsid w:val="008617FE"/>
    <w:rsid w:val="00862638"/>
    <w:rsid w:val="00862B88"/>
    <w:rsid w:val="00862BC2"/>
    <w:rsid w:val="008630F4"/>
    <w:rsid w:val="008631D8"/>
    <w:rsid w:val="0086348C"/>
    <w:rsid w:val="00863636"/>
    <w:rsid w:val="008642DB"/>
    <w:rsid w:val="00864305"/>
    <w:rsid w:val="00864343"/>
    <w:rsid w:val="00864A43"/>
    <w:rsid w:val="00864B0A"/>
    <w:rsid w:val="00864BD3"/>
    <w:rsid w:val="00864C90"/>
    <w:rsid w:val="00864F3D"/>
    <w:rsid w:val="00865617"/>
    <w:rsid w:val="0086588E"/>
    <w:rsid w:val="008659BC"/>
    <w:rsid w:val="00865BA0"/>
    <w:rsid w:val="0086605F"/>
    <w:rsid w:val="0086616F"/>
    <w:rsid w:val="008669A4"/>
    <w:rsid w:val="00866AFC"/>
    <w:rsid w:val="00866C5D"/>
    <w:rsid w:val="00866D1D"/>
    <w:rsid w:val="00866D93"/>
    <w:rsid w:val="00866E2E"/>
    <w:rsid w:val="008670C1"/>
    <w:rsid w:val="008670CC"/>
    <w:rsid w:val="008674E3"/>
    <w:rsid w:val="00867B0C"/>
    <w:rsid w:val="00867B3E"/>
    <w:rsid w:val="00867FF7"/>
    <w:rsid w:val="008704D1"/>
    <w:rsid w:val="00870664"/>
    <w:rsid w:val="0087070C"/>
    <w:rsid w:val="008709C8"/>
    <w:rsid w:val="00870F1E"/>
    <w:rsid w:val="0087116E"/>
    <w:rsid w:val="00871371"/>
    <w:rsid w:val="00871398"/>
    <w:rsid w:val="00871679"/>
    <w:rsid w:val="008716A5"/>
    <w:rsid w:val="00871A99"/>
    <w:rsid w:val="00871E8A"/>
    <w:rsid w:val="00871F5E"/>
    <w:rsid w:val="00871FCB"/>
    <w:rsid w:val="0087251B"/>
    <w:rsid w:val="00872590"/>
    <w:rsid w:val="0087271A"/>
    <w:rsid w:val="00872C74"/>
    <w:rsid w:val="00872CF6"/>
    <w:rsid w:val="00872F16"/>
    <w:rsid w:val="00873053"/>
    <w:rsid w:val="008735E6"/>
    <w:rsid w:val="008735F8"/>
    <w:rsid w:val="00873AEC"/>
    <w:rsid w:val="00873B2E"/>
    <w:rsid w:val="00873C32"/>
    <w:rsid w:val="00873DD7"/>
    <w:rsid w:val="00873E79"/>
    <w:rsid w:val="008741C9"/>
    <w:rsid w:val="00874A73"/>
    <w:rsid w:val="008751C4"/>
    <w:rsid w:val="0087537A"/>
    <w:rsid w:val="00875396"/>
    <w:rsid w:val="008759F3"/>
    <w:rsid w:val="00875C63"/>
    <w:rsid w:val="00876031"/>
    <w:rsid w:val="00876406"/>
    <w:rsid w:val="0087654E"/>
    <w:rsid w:val="00876C15"/>
    <w:rsid w:val="008776C2"/>
    <w:rsid w:val="008778AD"/>
    <w:rsid w:val="00877CDA"/>
    <w:rsid w:val="00877E74"/>
    <w:rsid w:val="00877F2D"/>
    <w:rsid w:val="00880467"/>
    <w:rsid w:val="008808D7"/>
    <w:rsid w:val="008810AB"/>
    <w:rsid w:val="008810B6"/>
    <w:rsid w:val="00881691"/>
    <w:rsid w:val="00881B32"/>
    <w:rsid w:val="00881D59"/>
    <w:rsid w:val="00881E74"/>
    <w:rsid w:val="00882621"/>
    <w:rsid w:val="00882A59"/>
    <w:rsid w:val="00882A66"/>
    <w:rsid w:val="00882B76"/>
    <w:rsid w:val="00882DC2"/>
    <w:rsid w:val="008830EF"/>
    <w:rsid w:val="008831F9"/>
    <w:rsid w:val="008832FB"/>
    <w:rsid w:val="00883607"/>
    <w:rsid w:val="00883846"/>
    <w:rsid w:val="00883D06"/>
    <w:rsid w:val="00883F72"/>
    <w:rsid w:val="0088416A"/>
    <w:rsid w:val="0088423F"/>
    <w:rsid w:val="0088426D"/>
    <w:rsid w:val="008844BD"/>
    <w:rsid w:val="00884986"/>
    <w:rsid w:val="008849CC"/>
    <w:rsid w:val="00884B3B"/>
    <w:rsid w:val="00884EB3"/>
    <w:rsid w:val="008852B1"/>
    <w:rsid w:val="008852E3"/>
    <w:rsid w:val="0088534C"/>
    <w:rsid w:val="008855EC"/>
    <w:rsid w:val="00885620"/>
    <w:rsid w:val="00885B25"/>
    <w:rsid w:val="00885C40"/>
    <w:rsid w:val="00885E13"/>
    <w:rsid w:val="00885E86"/>
    <w:rsid w:val="00886154"/>
    <w:rsid w:val="00886176"/>
    <w:rsid w:val="00886687"/>
    <w:rsid w:val="008869C8"/>
    <w:rsid w:val="00886CD7"/>
    <w:rsid w:val="00886D4C"/>
    <w:rsid w:val="00887636"/>
    <w:rsid w:val="008900AB"/>
    <w:rsid w:val="0089068F"/>
    <w:rsid w:val="008907EA"/>
    <w:rsid w:val="00890B64"/>
    <w:rsid w:val="00890DF5"/>
    <w:rsid w:val="008913A5"/>
    <w:rsid w:val="00891745"/>
    <w:rsid w:val="0089216D"/>
    <w:rsid w:val="00892245"/>
    <w:rsid w:val="00892349"/>
    <w:rsid w:val="0089248A"/>
    <w:rsid w:val="0089248E"/>
    <w:rsid w:val="008927FF"/>
    <w:rsid w:val="00892813"/>
    <w:rsid w:val="00892D9D"/>
    <w:rsid w:val="00892E4E"/>
    <w:rsid w:val="0089328B"/>
    <w:rsid w:val="00893411"/>
    <w:rsid w:val="008934DF"/>
    <w:rsid w:val="00893624"/>
    <w:rsid w:val="008937C6"/>
    <w:rsid w:val="00893A7D"/>
    <w:rsid w:val="00893B9A"/>
    <w:rsid w:val="00893D4B"/>
    <w:rsid w:val="00894791"/>
    <w:rsid w:val="00895650"/>
    <w:rsid w:val="0089586F"/>
    <w:rsid w:val="00895B4C"/>
    <w:rsid w:val="00895CD9"/>
    <w:rsid w:val="00895DCD"/>
    <w:rsid w:val="008962C1"/>
    <w:rsid w:val="0089632D"/>
    <w:rsid w:val="008964A2"/>
    <w:rsid w:val="00896638"/>
    <w:rsid w:val="00896D1F"/>
    <w:rsid w:val="0089704C"/>
    <w:rsid w:val="00897A4A"/>
    <w:rsid w:val="00897D83"/>
    <w:rsid w:val="008A017F"/>
    <w:rsid w:val="008A02CE"/>
    <w:rsid w:val="008A0787"/>
    <w:rsid w:val="008A1114"/>
    <w:rsid w:val="008A1224"/>
    <w:rsid w:val="008A1326"/>
    <w:rsid w:val="008A1477"/>
    <w:rsid w:val="008A1570"/>
    <w:rsid w:val="008A15D4"/>
    <w:rsid w:val="008A1BDE"/>
    <w:rsid w:val="008A1D58"/>
    <w:rsid w:val="008A2061"/>
    <w:rsid w:val="008A2144"/>
    <w:rsid w:val="008A217D"/>
    <w:rsid w:val="008A249E"/>
    <w:rsid w:val="008A2508"/>
    <w:rsid w:val="008A2804"/>
    <w:rsid w:val="008A3F7E"/>
    <w:rsid w:val="008A3F82"/>
    <w:rsid w:val="008A40A1"/>
    <w:rsid w:val="008A4384"/>
    <w:rsid w:val="008A46FA"/>
    <w:rsid w:val="008A4849"/>
    <w:rsid w:val="008A4CC9"/>
    <w:rsid w:val="008A4E07"/>
    <w:rsid w:val="008A4E12"/>
    <w:rsid w:val="008A4FBC"/>
    <w:rsid w:val="008A52C7"/>
    <w:rsid w:val="008A5302"/>
    <w:rsid w:val="008A537C"/>
    <w:rsid w:val="008A5399"/>
    <w:rsid w:val="008A57A9"/>
    <w:rsid w:val="008A5840"/>
    <w:rsid w:val="008A58EE"/>
    <w:rsid w:val="008A58EF"/>
    <w:rsid w:val="008A5B1F"/>
    <w:rsid w:val="008A5E14"/>
    <w:rsid w:val="008A603F"/>
    <w:rsid w:val="008A6291"/>
    <w:rsid w:val="008A678F"/>
    <w:rsid w:val="008A6894"/>
    <w:rsid w:val="008A6B92"/>
    <w:rsid w:val="008A6DA5"/>
    <w:rsid w:val="008A6E25"/>
    <w:rsid w:val="008A6F3D"/>
    <w:rsid w:val="008A71B0"/>
    <w:rsid w:val="008A72DB"/>
    <w:rsid w:val="008A733E"/>
    <w:rsid w:val="008A753B"/>
    <w:rsid w:val="008A75F3"/>
    <w:rsid w:val="008A77D8"/>
    <w:rsid w:val="008A7A7E"/>
    <w:rsid w:val="008A7AFC"/>
    <w:rsid w:val="008B0004"/>
    <w:rsid w:val="008B03D0"/>
    <w:rsid w:val="008B067E"/>
    <w:rsid w:val="008B0770"/>
    <w:rsid w:val="008B0CBC"/>
    <w:rsid w:val="008B11E7"/>
    <w:rsid w:val="008B1308"/>
    <w:rsid w:val="008B14A3"/>
    <w:rsid w:val="008B1745"/>
    <w:rsid w:val="008B1B44"/>
    <w:rsid w:val="008B22EC"/>
    <w:rsid w:val="008B2433"/>
    <w:rsid w:val="008B259A"/>
    <w:rsid w:val="008B284D"/>
    <w:rsid w:val="008B2C76"/>
    <w:rsid w:val="008B2D0B"/>
    <w:rsid w:val="008B2DC7"/>
    <w:rsid w:val="008B2ED0"/>
    <w:rsid w:val="008B36A7"/>
    <w:rsid w:val="008B427C"/>
    <w:rsid w:val="008B4297"/>
    <w:rsid w:val="008B473B"/>
    <w:rsid w:val="008B4809"/>
    <w:rsid w:val="008B4AC9"/>
    <w:rsid w:val="008B520B"/>
    <w:rsid w:val="008B537F"/>
    <w:rsid w:val="008B5428"/>
    <w:rsid w:val="008B5AE4"/>
    <w:rsid w:val="008B5C88"/>
    <w:rsid w:val="008B5E2E"/>
    <w:rsid w:val="008B6122"/>
    <w:rsid w:val="008B6168"/>
    <w:rsid w:val="008B645B"/>
    <w:rsid w:val="008B6712"/>
    <w:rsid w:val="008B6A6D"/>
    <w:rsid w:val="008B6BDE"/>
    <w:rsid w:val="008B6C11"/>
    <w:rsid w:val="008B6C34"/>
    <w:rsid w:val="008B6C3D"/>
    <w:rsid w:val="008B6EA8"/>
    <w:rsid w:val="008B70EA"/>
    <w:rsid w:val="008B761D"/>
    <w:rsid w:val="008B77E8"/>
    <w:rsid w:val="008B7A63"/>
    <w:rsid w:val="008C00D9"/>
    <w:rsid w:val="008C0104"/>
    <w:rsid w:val="008C0167"/>
    <w:rsid w:val="008C01C2"/>
    <w:rsid w:val="008C0321"/>
    <w:rsid w:val="008C0366"/>
    <w:rsid w:val="008C070D"/>
    <w:rsid w:val="008C0FA8"/>
    <w:rsid w:val="008C169A"/>
    <w:rsid w:val="008C1964"/>
    <w:rsid w:val="008C19C8"/>
    <w:rsid w:val="008C1A3C"/>
    <w:rsid w:val="008C1A79"/>
    <w:rsid w:val="008C1D6F"/>
    <w:rsid w:val="008C1F73"/>
    <w:rsid w:val="008C218F"/>
    <w:rsid w:val="008C26F4"/>
    <w:rsid w:val="008C27DE"/>
    <w:rsid w:val="008C2AAD"/>
    <w:rsid w:val="008C32BA"/>
    <w:rsid w:val="008C33CC"/>
    <w:rsid w:val="008C3711"/>
    <w:rsid w:val="008C3942"/>
    <w:rsid w:val="008C3BEA"/>
    <w:rsid w:val="008C3C52"/>
    <w:rsid w:val="008C3D64"/>
    <w:rsid w:val="008C3DE1"/>
    <w:rsid w:val="008C43B2"/>
    <w:rsid w:val="008C4AB2"/>
    <w:rsid w:val="008C4F03"/>
    <w:rsid w:val="008C4FD9"/>
    <w:rsid w:val="008C5117"/>
    <w:rsid w:val="008C512E"/>
    <w:rsid w:val="008C569F"/>
    <w:rsid w:val="008C56B2"/>
    <w:rsid w:val="008C56E1"/>
    <w:rsid w:val="008C58E0"/>
    <w:rsid w:val="008C59A0"/>
    <w:rsid w:val="008C59FD"/>
    <w:rsid w:val="008C5E73"/>
    <w:rsid w:val="008C6952"/>
    <w:rsid w:val="008C6C36"/>
    <w:rsid w:val="008C6E73"/>
    <w:rsid w:val="008C707F"/>
    <w:rsid w:val="008C709E"/>
    <w:rsid w:val="008C72B1"/>
    <w:rsid w:val="008C75DE"/>
    <w:rsid w:val="008C760B"/>
    <w:rsid w:val="008C7916"/>
    <w:rsid w:val="008C7C97"/>
    <w:rsid w:val="008C7CD9"/>
    <w:rsid w:val="008D0160"/>
    <w:rsid w:val="008D0255"/>
    <w:rsid w:val="008D02F2"/>
    <w:rsid w:val="008D04BC"/>
    <w:rsid w:val="008D0A87"/>
    <w:rsid w:val="008D0CF2"/>
    <w:rsid w:val="008D0CF3"/>
    <w:rsid w:val="008D0D36"/>
    <w:rsid w:val="008D1261"/>
    <w:rsid w:val="008D18AF"/>
    <w:rsid w:val="008D19D1"/>
    <w:rsid w:val="008D1A8A"/>
    <w:rsid w:val="008D1B97"/>
    <w:rsid w:val="008D1C2A"/>
    <w:rsid w:val="008D1C79"/>
    <w:rsid w:val="008D1E3E"/>
    <w:rsid w:val="008D2109"/>
    <w:rsid w:val="008D22F5"/>
    <w:rsid w:val="008D23A1"/>
    <w:rsid w:val="008D2A9D"/>
    <w:rsid w:val="008D2BAB"/>
    <w:rsid w:val="008D2DA5"/>
    <w:rsid w:val="008D2DAA"/>
    <w:rsid w:val="008D3081"/>
    <w:rsid w:val="008D320F"/>
    <w:rsid w:val="008D3555"/>
    <w:rsid w:val="008D3585"/>
    <w:rsid w:val="008D375E"/>
    <w:rsid w:val="008D3A0D"/>
    <w:rsid w:val="008D3B84"/>
    <w:rsid w:val="008D3CA1"/>
    <w:rsid w:val="008D3EF8"/>
    <w:rsid w:val="008D4566"/>
    <w:rsid w:val="008D45DE"/>
    <w:rsid w:val="008D4776"/>
    <w:rsid w:val="008D4AEB"/>
    <w:rsid w:val="008D5137"/>
    <w:rsid w:val="008D5AFD"/>
    <w:rsid w:val="008D60E7"/>
    <w:rsid w:val="008D63E7"/>
    <w:rsid w:val="008D6658"/>
    <w:rsid w:val="008D6755"/>
    <w:rsid w:val="008D69F9"/>
    <w:rsid w:val="008D6C69"/>
    <w:rsid w:val="008D6E63"/>
    <w:rsid w:val="008D71C1"/>
    <w:rsid w:val="008D71E5"/>
    <w:rsid w:val="008D7247"/>
    <w:rsid w:val="008D7290"/>
    <w:rsid w:val="008D7BEF"/>
    <w:rsid w:val="008E0107"/>
    <w:rsid w:val="008E028D"/>
    <w:rsid w:val="008E0599"/>
    <w:rsid w:val="008E07A2"/>
    <w:rsid w:val="008E0971"/>
    <w:rsid w:val="008E0A4C"/>
    <w:rsid w:val="008E0B6E"/>
    <w:rsid w:val="008E1405"/>
    <w:rsid w:val="008E14B7"/>
    <w:rsid w:val="008E14BC"/>
    <w:rsid w:val="008E1B53"/>
    <w:rsid w:val="008E1DCC"/>
    <w:rsid w:val="008E20F8"/>
    <w:rsid w:val="008E22CE"/>
    <w:rsid w:val="008E2538"/>
    <w:rsid w:val="008E2577"/>
    <w:rsid w:val="008E2C08"/>
    <w:rsid w:val="008E2F13"/>
    <w:rsid w:val="008E30C4"/>
    <w:rsid w:val="008E382D"/>
    <w:rsid w:val="008E3917"/>
    <w:rsid w:val="008E3999"/>
    <w:rsid w:val="008E3DE5"/>
    <w:rsid w:val="008E3E0F"/>
    <w:rsid w:val="008E3E3B"/>
    <w:rsid w:val="008E417F"/>
    <w:rsid w:val="008E41FF"/>
    <w:rsid w:val="008E443D"/>
    <w:rsid w:val="008E4990"/>
    <w:rsid w:val="008E5141"/>
    <w:rsid w:val="008E519A"/>
    <w:rsid w:val="008E53D0"/>
    <w:rsid w:val="008E54BC"/>
    <w:rsid w:val="008E5D00"/>
    <w:rsid w:val="008E6074"/>
    <w:rsid w:val="008E6137"/>
    <w:rsid w:val="008E6A79"/>
    <w:rsid w:val="008E6B47"/>
    <w:rsid w:val="008E6D2C"/>
    <w:rsid w:val="008E7225"/>
    <w:rsid w:val="008E74BA"/>
    <w:rsid w:val="008E74D6"/>
    <w:rsid w:val="008E7C37"/>
    <w:rsid w:val="008F0002"/>
    <w:rsid w:val="008F0850"/>
    <w:rsid w:val="008F116E"/>
    <w:rsid w:val="008F11F2"/>
    <w:rsid w:val="008F1386"/>
    <w:rsid w:val="008F1759"/>
    <w:rsid w:val="008F17E6"/>
    <w:rsid w:val="008F1A86"/>
    <w:rsid w:val="008F20F0"/>
    <w:rsid w:val="008F346D"/>
    <w:rsid w:val="008F36C3"/>
    <w:rsid w:val="008F39F0"/>
    <w:rsid w:val="008F3AD7"/>
    <w:rsid w:val="008F3E98"/>
    <w:rsid w:val="008F3ECC"/>
    <w:rsid w:val="008F3ED8"/>
    <w:rsid w:val="008F420A"/>
    <w:rsid w:val="008F42EF"/>
    <w:rsid w:val="008F4D7D"/>
    <w:rsid w:val="008F4EC1"/>
    <w:rsid w:val="008F51A6"/>
    <w:rsid w:val="008F55F8"/>
    <w:rsid w:val="008F5748"/>
    <w:rsid w:val="008F5C27"/>
    <w:rsid w:val="008F5CAD"/>
    <w:rsid w:val="008F5D71"/>
    <w:rsid w:val="008F5E29"/>
    <w:rsid w:val="008F618D"/>
    <w:rsid w:val="008F637D"/>
    <w:rsid w:val="008F672E"/>
    <w:rsid w:val="008F6FBD"/>
    <w:rsid w:val="009001F3"/>
    <w:rsid w:val="00900488"/>
    <w:rsid w:val="009005A5"/>
    <w:rsid w:val="00900690"/>
    <w:rsid w:val="00900A7C"/>
    <w:rsid w:val="00900A98"/>
    <w:rsid w:val="00900E75"/>
    <w:rsid w:val="009010C3"/>
    <w:rsid w:val="009011A0"/>
    <w:rsid w:val="00901347"/>
    <w:rsid w:val="00901354"/>
    <w:rsid w:val="009019F8"/>
    <w:rsid w:val="009019FE"/>
    <w:rsid w:val="00901D01"/>
    <w:rsid w:val="00902358"/>
    <w:rsid w:val="00902688"/>
    <w:rsid w:val="00902CA9"/>
    <w:rsid w:val="00902E4C"/>
    <w:rsid w:val="00902EA3"/>
    <w:rsid w:val="0090304A"/>
    <w:rsid w:val="00903159"/>
    <w:rsid w:val="0090324E"/>
    <w:rsid w:val="0090353A"/>
    <w:rsid w:val="00903C70"/>
    <w:rsid w:val="00903C7D"/>
    <w:rsid w:val="00903D02"/>
    <w:rsid w:val="00903DF0"/>
    <w:rsid w:val="00903F6B"/>
    <w:rsid w:val="00904088"/>
    <w:rsid w:val="0090445D"/>
    <w:rsid w:val="009044E8"/>
    <w:rsid w:val="009049E9"/>
    <w:rsid w:val="00904A03"/>
    <w:rsid w:val="00904B12"/>
    <w:rsid w:val="00904FF6"/>
    <w:rsid w:val="0090510B"/>
    <w:rsid w:val="009051CA"/>
    <w:rsid w:val="00905603"/>
    <w:rsid w:val="00905F10"/>
    <w:rsid w:val="00905FAD"/>
    <w:rsid w:val="009063C8"/>
    <w:rsid w:val="009063EC"/>
    <w:rsid w:val="0090663F"/>
    <w:rsid w:val="009066AA"/>
    <w:rsid w:val="009068A0"/>
    <w:rsid w:val="00906A29"/>
    <w:rsid w:val="00906CFA"/>
    <w:rsid w:val="00906EF3"/>
    <w:rsid w:val="009072D0"/>
    <w:rsid w:val="0090793A"/>
    <w:rsid w:val="009079D4"/>
    <w:rsid w:val="009100BF"/>
    <w:rsid w:val="00910185"/>
    <w:rsid w:val="009105C7"/>
    <w:rsid w:val="0091083A"/>
    <w:rsid w:val="00910A55"/>
    <w:rsid w:val="00910C8F"/>
    <w:rsid w:val="009112F3"/>
    <w:rsid w:val="00911847"/>
    <w:rsid w:val="009119DA"/>
    <w:rsid w:val="009119F5"/>
    <w:rsid w:val="00911CF9"/>
    <w:rsid w:val="00911D13"/>
    <w:rsid w:val="00911DE8"/>
    <w:rsid w:val="00911F01"/>
    <w:rsid w:val="00912977"/>
    <w:rsid w:val="00913381"/>
    <w:rsid w:val="009133BE"/>
    <w:rsid w:val="00913C82"/>
    <w:rsid w:val="00913EBD"/>
    <w:rsid w:val="00913FCA"/>
    <w:rsid w:val="00914019"/>
    <w:rsid w:val="00914110"/>
    <w:rsid w:val="00914301"/>
    <w:rsid w:val="009146F6"/>
    <w:rsid w:val="0091479B"/>
    <w:rsid w:val="00915055"/>
    <w:rsid w:val="009152B4"/>
    <w:rsid w:val="00915596"/>
    <w:rsid w:val="00915B41"/>
    <w:rsid w:val="00915BEB"/>
    <w:rsid w:val="009165C7"/>
    <w:rsid w:val="009166EE"/>
    <w:rsid w:val="00916830"/>
    <w:rsid w:val="00916B9B"/>
    <w:rsid w:val="00916D22"/>
    <w:rsid w:val="00916D40"/>
    <w:rsid w:val="00916D96"/>
    <w:rsid w:val="0091714A"/>
    <w:rsid w:val="0091757D"/>
    <w:rsid w:val="00917852"/>
    <w:rsid w:val="00917904"/>
    <w:rsid w:val="00917959"/>
    <w:rsid w:val="00917D2F"/>
    <w:rsid w:val="00920024"/>
    <w:rsid w:val="009205AD"/>
    <w:rsid w:val="0092074F"/>
    <w:rsid w:val="00920CFF"/>
    <w:rsid w:val="00920E1A"/>
    <w:rsid w:val="00920F8C"/>
    <w:rsid w:val="00921146"/>
    <w:rsid w:val="00921245"/>
    <w:rsid w:val="00921514"/>
    <w:rsid w:val="00921615"/>
    <w:rsid w:val="00921EB6"/>
    <w:rsid w:val="0092240C"/>
    <w:rsid w:val="00922518"/>
    <w:rsid w:val="00922678"/>
    <w:rsid w:val="00922740"/>
    <w:rsid w:val="009229E8"/>
    <w:rsid w:val="00922E19"/>
    <w:rsid w:val="00923108"/>
    <w:rsid w:val="0092392E"/>
    <w:rsid w:val="00923E46"/>
    <w:rsid w:val="00924459"/>
    <w:rsid w:val="00924526"/>
    <w:rsid w:val="0092483B"/>
    <w:rsid w:val="009253CB"/>
    <w:rsid w:val="0092547E"/>
    <w:rsid w:val="00925621"/>
    <w:rsid w:val="00925648"/>
    <w:rsid w:val="00925A7D"/>
    <w:rsid w:val="00925D69"/>
    <w:rsid w:val="00925E42"/>
    <w:rsid w:val="00925E8A"/>
    <w:rsid w:val="00926095"/>
    <w:rsid w:val="00926D3A"/>
    <w:rsid w:val="009270CC"/>
    <w:rsid w:val="00927223"/>
    <w:rsid w:val="009276CA"/>
    <w:rsid w:val="0092772D"/>
    <w:rsid w:val="009277A8"/>
    <w:rsid w:val="00927B25"/>
    <w:rsid w:val="00927BDC"/>
    <w:rsid w:val="009301A3"/>
    <w:rsid w:val="009301A5"/>
    <w:rsid w:val="0093041E"/>
    <w:rsid w:val="00930A04"/>
    <w:rsid w:val="00930B14"/>
    <w:rsid w:val="0093110E"/>
    <w:rsid w:val="00931177"/>
    <w:rsid w:val="00931231"/>
    <w:rsid w:val="00931440"/>
    <w:rsid w:val="00931472"/>
    <w:rsid w:val="0093155A"/>
    <w:rsid w:val="009318B4"/>
    <w:rsid w:val="00931BA7"/>
    <w:rsid w:val="00931BE3"/>
    <w:rsid w:val="009320E1"/>
    <w:rsid w:val="00932126"/>
    <w:rsid w:val="0093215C"/>
    <w:rsid w:val="00932794"/>
    <w:rsid w:val="0093280D"/>
    <w:rsid w:val="009328A7"/>
    <w:rsid w:val="00932BB3"/>
    <w:rsid w:val="00932F6A"/>
    <w:rsid w:val="00933085"/>
    <w:rsid w:val="00933107"/>
    <w:rsid w:val="0093363A"/>
    <w:rsid w:val="00933ACA"/>
    <w:rsid w:val="00933AE5"/>
    <w:rsid w:val="00933C83"/>
    <w:rsid w:val="009345C5"/>
    <w:rsid w:val="00934738"/>
    <w:rsid w:val="00934A6C"/>
    <w:rsid w:val="00934AA2"/>
    <w:rsid w:val="00934CA5"/>
    <w:rsid w:val="00934F00"/>
    <w:rsid w:val="00935192"/>
    <w:rsid w:val="00935BE6"/>
    <w:rsid w:val="00935F4D"/>
    <w:rsid w:val="00936056"/>
    <w:rsid w:val="009363A1"/>
    <w:rsid w:val="009363D9"/>
    <w:rsid w:val="0093645D"/>
    <w:rsid w:val="00936470"/>
    <w:rsid w:val="009364F2"/>
    <w:rsid w:val="0093661E"/>
    <w:rsid w:val="009369C2"/>
    <w:rsid w:val="00936AC4"/>
    <w:rsid w:val="00936B75"/>
    <w:rsid w:val="00936DE2"/>
    <w:rsid w:val="00937226"/>
    <w:rsid w:val="009374AA"/>
    <w:rsid w:val="0094032C"/>
    <w:rsid w:val="009403EB"/>
    <w:rsid w:val="009404DA"/>
    <w:rsid w:val="0094078D"/>
    <w:rsid w:val="00940BD1"/>
    <w:rsid w:val="00940DDC"/>
    <w:rsid w:val="009412C5"/>
    <w:rsid w:val="0094166E"/>
    <w:rsid w:val="00941AE9"/>
    <w:rsid w:val="00941D35"/>
    <w:rsid w:val="009425B4"/>
    <w:rsid w:val="00942825"/>
    <w:rsid w:val="00942D9B"/>
    <w:rsid w:val="00942E09"/>
    <w:rsid w:val="0094345F"/>
    <w:rsid w:val="00943A1E"/>
    <w:rsid w:val="00943B64"/>
    <w:rsid w:val="00943C8B"/>
    <w:rsid w:val="00943E78"/>
    <w:rsid w:val="00943FF7"/>
    <w:rsid w:val="009446C2"/>
    <w:rsid w:val="009447CE"/>
    <w:rsid w:val="009449B1"/>
    <w:rsid w:val="00944AA3"/>
    <w:rsid w:val="00944AAB"/>
    <w:rsid w:val="00944C7D"/>
    <w:rsid w:val="009459A2"/>
    <w:rsid w:val="00945A2C"/>
    <w:rsid w:val="00945C29"/>
    <w:rsid w:val="00945EC7"/>
    <w:rsid w:val="009461DB"/>
    <w:rsid w:val="00946220"/>
    <w:rsid w:val="00946337"/>
    <w:rsid w:val="0094696D"/>
    <w:rsid w:val="009478F7"/>
    <w:rsid w:val="00947BB6"/>
    <w:rsid w:val="00947DB4"/>
    <w:rsid w:val="00947ED5"/>
    <w:rsid w:val="00950573"/>
    <w:rsid w:val="0095061E"/>
    <w:rsid w:val="009506B2"/>
    <w:rsid w:val="00950AC8"/>
    <w:rsid w:val="00950F58"/>
    <w:rsid w:val="0095110F"/>
    <w:rsid w:val="00951438"/>
    <w:rsid w:val="009514AC"/>
    <w:rsid w:val="00951947"/>
    <w:rsid w:val="00951F2D"/>
    <w:rsid w:val="00952386"/>
    <w:rsid w:val="0095240E"/>
    <w:rsid w:val="009526DA"/>
    <w:rsid w:val="00952766"/>
    <w:rsid w:val="00952888"/>
    <w:rsid w:val="00952DB8"/>
    <w:rsid w:val="00953040"/>
    <w:rsid w:val="00953597"/>
    <w:rsid w:val="009537DC"/>
    <w:rsid w:val="009539DC"/>
    <w:rsid w:val="009539DE"/>
    <w:rsid w:val="00953A08"/>
    <w:rsid w:val="00953E15"/>
    <w:rsid w:val="00953F9D"/>
    <w:rsid w:val="0095438E"/>
    <w:rsid w:val="0095461A"/>
    <w:rsid w:val="00954675"/>
    <w:rsid w:val="00954A28"/>
    <w:rsid w:val="00954A43"/>
    <w:rsid w:val="00954EA0"/>
    <w:rsid w:val="00954F59"/>
    <w:rsid w:val="0095544C"/>
    <w:rsid w:val="0095552B"/>
    <w:rsid w:val="0095562B"/>
    <w:rsid w:val="00956092"/>
    <w:rsid w:val="009565D1"/>
    <w:rsid w:val="00956676"/>
    <w:rsid w:val="00956C8D"/>
    <w:rsid w:val="009571D8"/>
    <w:rsid w:val="0095753C"/>
    <w:rsid w:val="0095788F"/>
    <w:rsid w:val="00957A17"/>
    <w:rsid w:val="00957D03"/>
    <w:rsid w:val="00957FAC"/>
    <w:rsid w:val="0096001F"/>
    <w:rsid w:val="0096006B"/>
    <w:rsid w:val="0096030C"/>
    <w:rsid w:val="0096053F"/>
    <w:rsid w:val="0096096E"/>
    <w:rsid w:val="00960E34"/>
    <w:rsid w:val="00960EE5"/>
    <w:rsid w:val="00960F6D"/>
    <w:rsid w:val="009610B4"/>
    <w:rsid w:val="0096122C"/>
    <w:rsid w:val="009617BB"/>
    <w:rsid w:val="00961EFC"/>
    <w:rsid w:val="009621AC"/>
    <w:rsid w:val="0096250F"/>
    <w:rsid w:val="0096266F"/>
    <w:rsid w:val="00962AD9"/>
    <w:rsid w:val="00962BF3"/>
    <w:rsid w:val="00962FA0"/>
    <w:rsid w:val="00963326"/>
    <w:rsid w:val="00963722"/>
    <w:rsid w:val="0096392D"/>
    <w:rsid w:val="009639B7"/>
    <w:rsid w:val="00963CFB"/>
    <w:rsid w:val="00964376"/>
    <w:rsid w:val="00964896"/>
    <w:rsid w:val="00964909"/>
    <w:rsid w:val="00964A60"/>
    <w:rsid w:val="00964C25"/>
    <w:rsid w:val="00964D4D"/>
    <w:rsid w:val="00964E19"/>
    <w:rsid w:val="00964F5D"/>
    <w:rsid w:val="009653D6"/>
    <w:rsid w:val="0096566D"/>
    <w:rsid w:val="00965701"/>
    <w:rsid w:val="009658BE"/>
    <w:rsid w:val="0096599F"/>
    <w:rsid w:val="009659AA"/>
    <w:rsid w:val="00965A0B"/>
    <w:rsid w:val="00965C3F"/>
    <w:rsid w:val="009664BC"/>
    <w:rsid w:val="0096657E"/>
    <w:rsid w:val="0096664E"/>
    <w:rsid w:val="00966BD3"/>
    <w:rsid w:val="00966BD4"/>
    <w:rsid w:val="00966EC6"/>
    <w:rsid w:val="00966F0E"/>
    <w:rsid w:val="00967200"/>
    <w:rsid w:val="009674A1"/>
    <w:rsid w:val="009677BC"/>
    <w:rsid w:val="009678D7"/>
    <w:rsid w:val="00967900"/>
    <w:rsid w:val="00967D53"/>
    <w:rsid w:val="00967DDC"/>
    <w:rsid w:val="00970415"/>
    <w:rsid w:val="00970539"/>
    <w:rsid w:val="009706A1"/>
    <w:rsid w:val="0097075E"/>
    <w:rsid w:val="00970B42"/>
    <w:rsid w:val="00971080"/>
    <w:rsid w:val="009713A7"/>
    <w:rsid w:val="00971DEE"/>
    <w:rsid w:val="00971F6C"/>
    <w:rsid w:val="00972130"/>
    <w:rsid w:val="00972A93"/>
    <w:rsid w:val="00972BD7"/>
    <w:rsid w:val="00972D3F"/>
    <w:rsid w:val="00972DE9"/>
    <w:rsid w:val="00972F56"/>
    <w:rsid w:val="0097343E"/>
    <w:rsid w:val="009735E9"/>
    <w:rsid w:val="00973681"/>
    <w:rsid w:val="00973E69"/>
    <w:rsid w:val="00973FB1"/>
    <w:rsid w:val="00974230"/>
    <w:rsid w:val="0097458C"/>
    <w:rsid w:val="009746B5"/>
    <w:rsid w:val="0097473B"/>
    <w:rsid w:val="00974905"/>
    <w:rsid w:val="00975023"/>
    <w:rsid w:val="00975367"/>
    <w:rsid w:val="009754D8"/>
    <w:rsid w:val="009759AC"/>
    <w:rsid w:val="009760AA"/>
    <w:rsid w:val="009761DE"/>
    <w:rsid w:val="0097623A"/>
    <w:rsid w:val="009764DA"/>
    <w:rsid w:val="00976541"/>
    <w:rsid w:val="00976780"/>
    <w:rsid w:val="00976805"/>
    <w:rsid w:val="00976894"/>
    <w:rsid w:val="00976E37"/>
    <w:rsid w:val="00976F0E"/>
    <w:rsid w:val="0097749F"/>
    <w:rsid w:val="0097794B"/>
    <w:rsid w:val="00977EFE"/>
    <w:rsid w:val="00977F2B"/>
    <w:rsid w:val="0098020F"/>
    <w:rsid w:val="009804F5"/>
    <w:rsid w:val="00980B51"/>
    <w:rsid w:val="009810BA"/>
    <w:rsid w:val="009818D9"/>
    <w:rsid w:val="00982B36"/>
    <w:rsid w:val="00982B73"/>
    <w:rsid w:val="00982BCD"/>
    <w:rsid w:val="00982C31"/>
    <w:rsid w:val="00982D94"/>
    <w:rsid w:val="00982FA9"/>
    <w:rsid w:val="009833A7"/>
    <w:rsid w:val="0098342B"/>
    <w:rsid w:val="0098348F"/>
    <w:rsid w:val="00983692"/>
    <w:rsid w:val="00983924"/>
    <w:rsid w:val="00984385"/>
    <w:rsid w:val="009844AF"/>
    <w:rsid w:val="009844E8"/>
    <w:rsid w:val="00984795"/>
    <w:rsid w:val="0098486D"/>
    <w:rsid w:val="00984B6B"/>
    <w:rsid w:val="00984E86"/>
    <w:rsid w:val="0098543B"/>
    <w:rsid w:val="00985456"/>
    <w:rsid w:val="0098603C"/>
    <w:rsid w:val="009861E6"/>
    <w:rsid w:val="0098629D"/>
    <w:rsid w:val="009865E5"/>
    <w:rsid w:val="00986ADB"/>
    <w:rsid w:val="00986B26"/>
    <w:rsid w:val="00986BD4"/>
    <w:rsid w:val="00986CF4"/>
    <w:rsid w:val="00986D5E"/>
    <w:rsid w:val="00986EB6"/>
    <w:rsid w:val="00986FC6"/>
    <w:rsid w:val="0098740B"/>
    <w:rsid w:val="00987B16"/>
    <w:rsid w:val="00987C1D"/>
    <w:rsid w:val="00987CB6"/>
    <w:rsid w:val="00987DD2"/>
    <w:rsid w:val="00987FD9"/>
    <w:rsid w:val="00990278"/>
    <w:rsid w:val="00990463"/>
    <w:rsid w:val="009906AA"/>
    <w:rsid w:val="009907DA"/>
    <w:rsid w:val="00990EE7"/>
    <w:rsid w:val="0099104B"/>
    <w:rsid w:val="009912E3"/>
    <w:rsid w:val="00991357"/>
    <w:rsid w:val="00991A3C"/>
    <w:rsid w:val="00991B61"/>
    <w:rsid w:val="00991BB4"/>
    <w:rsid w:val="00991D09"/>
    <w:rsid w:val="00992A0E"/>
    <w:rsid w:val="00992F14"/>
    <w:rsid w:val="00992F45"/>
    <w:rsid w:val="0099309F"/>
    <w:rsid w:val="0099313E"/>
    <w:rsid w:val="00993831"/>
    <w:rsid w:val="00993AC6"/>
    <w:rsid w:val="00993B2E"/>
    <w:rsid w:val="00994806"/>
    <w:rsid w:val="00994C74"/>
    <w:rsid w:val="00994CCF"/>
    <w:rsid w:val="009950BC"/>
    <w:rsid w:val="00995229"/>
    <w:rsid w:val="009952D5"/>
    <w:rsid w:val="009953C1"/>
    <w:rsid w:val="00995575"/>
    <w:rsid w:val="00995D05"/>
    <w:rsid w:val="00995FD2"/>
    <w:rsid w:val="009965AC"/>
    <w:rsid w:val="009967A1"/>
    <w:rsid w:val="009967B7"/>
    <w:rsid w:val="00996B8E"/>
    <w:rsid w:val="00996D5D"/>
    <w:rsid w:val="00996D88"/>
    <w:rsid w:val="00997029"/>
    <w:rsid w:val="0099723D"/>
    <w:rsid w:val="009973FD"/>
    <w:rsid w:val="00997506"/>
    <w:rsid w:val="00997A8E"/>
    <w:rsid w:val="00997EAC"/>
    <w:rsid w:val="009A0193"/>
    <w:rsid w:val="009A01AA"/>
    <w:rsid w:val="009A079A"/>
    <w:rsid w:val="009A0B6B"/>
    <w:rsid w:val="009A0DC9"/>
    <w:rsid w:val="009A1387"/>
    <w:rsid w:val="009A16B2"/>
    <w:rsid w:val="009A1E2B"/>
    <w:rsid w:val="009A2251"/>
    <w:rsid w:val="009A246B"/>
    <w:rsid w:val="009A248D"/>
    <w:rsid w:val="009A26B0"/>
    <w:rsid w:val="009A2B5C"/>
    <w:rsid w:val="009A443E"/>
    <w:rsid w:val="009A4D5C"/>
    <w:rsid w:val="009A4E2A"/>
    <w:rsid w:val="009A4E72"/>
    <w:rsid w:val="009A548B"/>
    <w:rsid w:val="009A553C"/>
    <w:rsid w:val="009A564E"/>
    <w:rsid w:val="009A5820"/>
    <w:rsid w:val="009A64C6"/>
    <w:rsid w:val="009A6BE2"/>
    <w:rsid w:val="009A705D"/>
    <w:rsid w:val="009A73B2"/>
    <w:rsid w:val="009A74B8"/>
    <w:rsid w:val="009A75BB"/>
    <w:rsid w:val="009A76A5"/>
    <w:rsid w:val="009A7DCC"/>
    <w:rsid w:val="009B04AE"/>
    <w:rsid w:val="009B05C2"/>
    <w:rsid w:val="009B0ADE"/>
    <w:rsid w:val="009B0B08"/>
    <w:rsid w:val="009B0D96"/>
    <w:rsid w:val="009B103A"/>
    <w:rsid w:val="009B1164"/>
    <w:rsid w:val="009B134D"/>
    <w:rsid w:val="009B16AB"/>
    <w:rsid w:val="009B16E2"/>
    <w:rsid w:val="009B1E0A"/>
    <w:rsid w:val="009B1FFB"/>
    <w:rsid w:val="009B2594"/>
    <w:rsid w:val="009B265A"/>
    <w:rsid w:val="009B27C5"/>
    <w:rsid w:val="009B2CFA"/>
    <w:rsid w:val="009B2D17"/>
    <w:rsid w:val="009B32D1"/>
    <w:rsid w:val="009B3712"/>
    <w:rsid w:val="009B3CF9"/>
    <w:rsid w:val="009B46E3"/>
    <w:rsid w:val="009B4A15"/>
    <w:rsid w:val="009B4CC3"/>
    <w:rsid w:val="009B4FB4"/>
    <w:rsid w:val="009B561D"/>
    <w:rsid w:val="009B5753"/>
    <w:rsid w:val="009B5854"/>
    <w:rsid w:val="009B5889"/>
    <w:rsid w:val="009B5994"/>
    <w:rsid w:val="009B59D4"/>
    <w:rsid w:val="009B6197"/>
    <w:rsid w:val="009B664E"/>
    <w:rsid w:val="009B67F6"/>
    <w:rsid w:val="009B6921"/>
    <w:rsid w:val="009B6978"/>
    <w:rsid w:val="009B6A0E"/>
    <w:rsid w:val="009B7371"/>
    <w:rsid w:val="009B73FB"/>
    <w:rsid w:val="009B7498"/>
    <w:rsid w:val="009B7764"/>
    <w:rsid w:val="009B7AFB"/>
    <w:rsid w:val="009B7FEA"/>
    <w:rsid w:val="009C0340"/>
    <w:rsid w:val="009C078E"/>
    <w:rsid w:val="009C0CB7"/>
    <w:rsid w:val="009C0E12"/>
    <w:rsid w:val="009C1108"/>
    <w:rsid w:val="009C11A3"/>
    <w:rsid w:val="009C1262"/>
    <w:rsid w:val="009C156A"/>
    <w:rsid w:val="009C15A4"/>
    <w:rsid w:val="009C1657"/>
    <w:rsid w:val="009C17FC"/>
    <w:rsid w:val="009C19DF"/>
    <w:rsid w:val="009C1A9B"/>
    <w:rsid w:val="009C1EDE"/>
    <w:rsid w:val="009C20EC"/>
    <w:rsid w:val="009C2425"/>
    <w:rsid w:val="009C25CB"/>
    <w:rsid w:val="009C2B2B"/>
    <w:rsid w:val="009C2FDB"/>
    <w:rsid w:val="009C32E3"/>
    <w:rsid w:val="009C3546"/>
    <w:rsid w:val="009C37E9"/>
    <w:rsid w:val="009C37F2"/>
    <w:rsid w:val="009C392D"/>
    <w:rsid w:val="009C3A40"/>
    <w:rsid w:val="009C3A68"/>
    <w:rsid w:val="009C3C9C"/>
    <w:rsid w:val="009C3CFA"/>
    <w:rsid w:val="009C3F14"/>
    <w:rsid w:val="009C43A3"/>
    <w:rsid w:val="009C4592"/>
    <w:rsid w:val="009C4725"/>
    <w:rsid w:val="009C4905"/>
    <w:rsid w:val="009C5261"/>
    <w:rsid w:val="009C52E0"/>
    <w:rsid w:val="009C5A72"/>
    <w:rsid w:val="009C5C42"/>
    <w:rsid w:val="009C5E0C"/>
    <w:rsid w:val="009C6464"/>
    <w:rsid w:val="009C6636"/>
    <w:rsid w:val="009C680F"/>
    <w:rsid w:val="009C6E2D"/>
    <w:rsid w:val="009C6F5A"/>
    <w:rsid w:val="009C7023"/>
    <w:rsid w:val="009C74A1"/>
    <w:rsid w:val="009C771E"/>
    <w:rsid w:val="009C7745"/>
    <w:rsid w:val="009C787D"/>
    <w:rsid w:val="009C7DDA"/>
    <w:rsid w:val="009C7FFC"/>
    <w:rsid w:val="009D06BE"/>
    <w:rsid w:val="009D0998"/>
    <w:rsid w:val="009D0C52"/>
    <w:rsid w:val="009D0D07"/>
    <w:rsid w:val="009D1C3D"/>
    <w:rsid w:val="009D2051"/>
    <w:rsid w:val="009D2657"/>
    <w:rsid w:val="009D26C6"/>
    <w:rsid w:val="009D29A7"/>
    <w:rsid w:val="009D2A24"/>
    <w:rsid w:val="009D2A94"/>
    <w:rsid w:val="009D2F6C"/>
    <w:rsid w:val="009D34FC"/>
    <w:rsid w:val="009D38D7"/>
    <w:rsid w:val="009D3953"/>
    <w:rsid w:val="009D3A97"/>
    <w:rsid w:val="009D3B32"/>
    <w:rsid w:val="009D3BCA"/>
    <w:rsid w:val="009D3E46"/>
    <w:rsid w:val="009D44CF"/>
    <w:rsid w:val="009D4953"/>
    <w:rsid w:val="009D49B5"/>
    <w:rsid w:val="009D4EE0"/>
    <w:rsid w:val="009D4F44"/>
    <w:rsid w:val="009D5079"/>
    <w:rsid w:val="009D5195"/>
    <w:rsid w:val="009D51E5"/>
    <w:rsid w:val="009D5359"/>
    <w:rsid w:val="009D6109"/>
    <w:rsid w:val="009D640B"/>
    <w:rsid w:val="009D67A3"/>
    <w:rsid w:val="009D6C5D"/>
    <w:rsid w:val="009D6C74"/>
    <w:rsid w:val="009D6D95"/>
    <w:rsid w:val="009D7662"/>
    <w:rsid w:val="009D789D"/>
    <w:rsid w:val="009D7A32"/>
    <w:rsid w:val="009D7F7A"/>
    <w:rsid w:val="009D7FF1"/>
    <w:rsid w:val="009E0406"/>
    <w:rsid w:val="009E04B6"/>
    <w:rsid w:val="009E06A5"/>
    <w:rsid w:val="009E0A8E"/>
    <w:rsid w:val="009E0E2E"/>
    <w:rsid w:val="009E1234"/>
    <w:rsid w:val="009E1374"/>
    <w:rsid w:val="009E14A7"/>
    <w:rsid w:val="009E14EB"/>
    <w:rsid w:val="009E1866"/>
    <w:rsid w:val="009E192D"/>
    <w:rsid w:val="009E1EA5"/>
    <w:rsid w:val="009E2FAE"/>
    <w:rsid w:val="009E3088"/>
    <w:rsid w:val="009E3212"/>
    <w:rsid w:val="009E3558"/>
    <w:rsid w:val="009E3636"/>
    <w:rsid w:val="009E376D"/>
    <w:rsid w:val="009E3ABA"/>
    <w:rsid w:val="009E3E6C"/>
    <w:rsid w:val="009E4A48"/>
    <w:rsid w:val="009E4B12"/>
    <w:rsid w:val="009E5010"/>
    <w:rsid w:val="009E50D3"/>
    <w:rsid w:val="009E52EF"/>
    <w:rsid w:val="009E53F8"/>
    <w:rsid w:val="009E56DB"/>
    <w:rsid w:val="009E61F3"/>
    <w:rsid w:val="009E6355"/>
    <w:rsid w:val="009E6693"/>
    <w:rsid w:val="009E6BBB"/>
    <w:rsid w:val="009E6BC9"/>
    <w:rsid w:val="009E6D66"/>
    <w:rsid w:val="009E6FB5"/>
    <w:rsid w:val="009E6FC2"/>
    <w:rsid w:val="009E7372"/>
    <w:rsid w:val="009E7377"/>
    <w:rsid w:val="009E74E2"/>
    <w:rsid w:val="009E7521"/>
    <w:rsid w:val="009E75DD"/>
    <w:rsid w:val="009E766A"/>
    <w:rsid w:val="009E78AE"/>
    <w:rsid w:val="009E78C6"/>
    <w:rsid w:val="009E79D5"/>
    <w:rsid w:val="009E7C46"/>
    <w:rsid w:val="009E7E28"/>
    <w:rsid w:val="009F00D4"/>
    <w:rsid w:val="009F02A6"/>
    <w:rsid w:val="009F02C0"/>
    <w:rsid w:val="009F055E"/>
    <w:rsid w:val="009F068C"/>
    <w:rsid w:val="009F07DE"/>
    <w:rsid w:val="009F0A35"/>
    <w:rsid w:val="009F0F0C"/>
    <w:rsid w:val="009F1334"/>
    <w:rsid w:val="009F158B"/>
    <w:rsid w:val="009F16DD"/>
    <w:rsid w:val="009F1B0D"/>
    <w:rsid w:val="009F285C"/>
    <w:rsid w:val="009F2D14"/>
    <w:rsid w:val="009F301D"/>
    <w:rsid w:val="009F383F"/>
    <w:rsid w:val="009F3F82"/>
    <w:rsid w:val="009F3F91"/>
    <w:rsid w:val="009F3FAC"/>
    <w:rsid w:val="009F406D"/>
    <w:rsid w:val="009F4466"/>
    <w:rsid w:val="009F4AE3"/>
    <w:rsid w:val="009F4EF1"/>
    <w:rsid w:val="009F51AF"/>
    <w:rsid w:val="009F58B1"/>
    <w:rsid w:val="009F5D5C"/>
    <w:rsid w:val="009F6137"/>
    <w:rsid w:val="009F646B"/>
    <w:rsid w:val="009F6559"/>
    <w:rsid w:val="009F67D8"/>
    <w:rsid w:val="009F695E"/>
    <w:rsid w:val="009F6A5E"/>
    <w:rsid w:val="009F6DC0"/>
    <w:rsid w:val="009F742E"/>
    <w:rsid w:val="009F76AB"/>
    <w:rsid w:val="009F7CDC"/>
    <w:rsid w:val="00A00703"/>
    <w:rsid w:val="00A00DB8"/>
    <w:rsid w:val="00A014E8"/>
    <w:rsid w:val="00A015C0"/>
    <w:rsid w:val="00A015FA"/>
    <w:rsid w:val="00A01663"/>
    <w:rsid w:val="00A01818"/>
    <w:rsid w:val="00A01837"/>
    <w:rsid w:val="00A029A2"/>
    <w:rsid w:val="00A031A9"/>
    <w:rsid w:val="00A032F1"/>
    <w:rsid w:val="00A03785"/>
    <w:rsid w:val="00A039E9"/>
    <w:rsid w:val="00A03C07"/>
    <w:rsid w:val="00A03FF4"/>
    <w:rsid w:val="00A04475"/>
    <w:rsid w:val="00A04649"/>
    <w:rsid w:val="00A04876"/>
    <w:rsid w:val="00A04B17"/>
    <w:rsid w:val="00A04B37"/>
    <w:rsid w:val="00A04DF9"/>
    <w:rsid w:val="00A05004"/>
    <w:rsid w:val="00A05055"/>
    <w:rsid w:val="00A05143"/>
    <w:rsid w:val="00A05724"/>
    <w:rsid w:val="00A05C40"/>
    <w:rsid w:val="00A05D25"/>
    <w:rsid w:val="00A05FEA"/>
    <w:rsid w:val="00A061C4"/>
    <w:rsid w:val="00A061C5"/>
    <w:rsid w:val="00A063C0"/>
    <w:rsid w:val="00A068ED"/>
    <w:rsid w:val="00A06B52"/>
    <w:rsid w:val="00A06CAB"/>
    <w:rsid w:val="00A06E29"/>
    <w:rsid w:val="00A06E70"/>
    <w:rsid w:val="00A076C8"/>
    <w:rsid w:val="00A07961"/>
    <w:rsid w:val="00A07A6A"/>
    <w:rsid w:val="00A07DD9"/>
    <w:rsid w:val="00A07E37"/>
    <w:rsid w:val="00A10152"/>
    <w:rsid w:val="00A106EA"/>
    <w:rsid w:val="00A10706"/>
    <w:rsid w:val="00A10726"/>
    <w:rsid w:val="00A10AE6"/>
    <w:rsid w:val="00A11053"/>
    <w:rsid w:val="00A11DC9"/>
    <w:rsid w:val="00A12248"/>
    <w:rsid w:val="00A12298"/>
    <w:rsid w:val="00A12309"/>
    <w:rsid w:val="00A12402"/>
    <w:rsid w:val="00A1253D"/>
    <w:rsid w:val="00A125CD"/>
    <w:rsid w:val="00A12900"/>
    <w:rsid w:val="00A12E76"/>
    <w:rsid w:val="00A12F52"/>
    <w:rsid w:val="00A137CD"/>
    <w:rsid w:val="00A138B6"/>
    <w:rsid w:val="00A13BDF"/>
    <w:rsid w:val="00A13D7F"/>
    <w:rsid w:val="00A13E56"/>
    <w:rsid w:val="00A13E90"/>
    <w:rsid w:val="00A14604"/>
    <w:rsid w:val="00A14C99"/>
    <w:rsid w:val="00A14F5E"/>
    <w:rsid w:val="00A1586E"/>
    <w:rsid w:val="00A15B67"/>
    <w:rsid w:val="00A15CAD"/>
    <w:rsid w:val="00A16493"/>
    <w:rsid w:val="00A16731"/>
    <w:rsid w:val="00A16FF0"/>
    <w:rsid w:val="00A170FA"/>
    <w:rsid w:val="00A171AA"/>
    <w:rsid w:val="00A1725C"/>
    <w:rsid w:val="00A17A31"/>
    <w:rsid w:val="00A17A8B"/>
    <w:rsid w:val="00A17C8D"/>
    <w:rsid w:val="00A20357"/>
    <w:rsid w:val="00A20442"/>
    <w:rsid w:val="00A204D9"/>
    <w:rsid w:val="00A20658"/>
    <w:rsid w:val="00A209C6"/>
    <w:rsid w:val="00A20FA3"/>
    <w:rsid w:val="00A214DE"/>
    <w:rsid w:val="00A217B1"/>
    <w:rsid w:val="00A21BFD"/>
    <w:rsid w:val="00A21C61"/>
    <w:rsid w:val="00A22D93"/>
    <w:rsid w:val="00A22FD9"/>
    <w:rsid w:val="00A230A7"/>
    <w:rsid w:val="00A232C8"/>
    <w:rsid w:val="00A23778"/>
    <w:rsid w:val="00A23B49"/>
    <w:rsid w:val="00A23E67"/>
    <w:rsid w:val="00A240F7"/>
    <w:rsid w:val="00A24129"/>
    <w:rsid w:val="00A243AC"/>
    <w:rsid w:val="00A248C5"/>
    <w:rsid w:val="00A24974"/>
    <w:rsid w:val="00A24EBD"/>
    <w:rsid w:val="00A250D5"/>
    <w:rsid w:val="00A25134"/>
    <w:rsid w:val="00A25774"/>
    <w:rsid w:val="00A2595B"/>
    <w:rsid w:val="00A25C2B"/>
    <w:rsid w:val="00A25C6C"/>
    <w:rsid w:val="00A25CFF"/>
    <w:rsid w:val="00A25D36"/>
    <w:rsid w:val="00A25D8D"/>
    <w:rsid w:val="00A25DED"/>
    <w:rsid w:val="00A25F92"/>
    <w:rsid w:val="00A2600D"/>
    <w:rsid w:val="00A26245"/>
    <w:rsid w:val="00A2658C"/>
    <w:rsid w:val="00A2676C"/>
    <w:rsid w:val="00A2677D"/>
    <w:rsid w:val="00A26797"/>
    <w:rsid w:val="00A268AC"/>
    <w:rsid w:val="00A268B6"/>
    <w:rsid w:val="00A2690B"/>
    <w:rsid w:val="00A27680"/>
    <w:rsid w:val="00A276FA"/>
    <w:rsid w:val="00A27919"/>
    <w:rsid w:val="00A279E7"/>
    <w:rsid w:val="00A27C30"/>
    <w:rsid w:val="00A27DE6"/>
    <w:rsid w:val="00A30306"/>
    <w:rsid w:val="00A308F1"/>
    <w:rsid w:val="00A30967"/>
    <w:rsid w:val="00A309D1"/>
    <w:rsid w:val="00A30CAD"/>
    <w:rsid w:val="00A30D93"/>
    <w:rsid w:val="00A310BD"/>
    <w:rsid w:val="00A310F8"/>
    <w:rsid w:val="00A311E7"/>
    <w:rsid w:val="00A31280"/>
    <w:rsid w:val="00A31365"/>
    <w:rsid w:val="00A31460"/>
    <w:rsid w:val="00A31487"/>
    <w:rsid w:val="00A314FC"/>
    <w:rsid w:val="00A316C2"/>
    <w:rsid w:val="00A31748"/>
    <w:rsid w:val="00A3174C"/>
    <w:rsid w:val="00A31C20"/>
    <w:rsid w:val="00A31F09"/>
    <w:rsid w:val="00A32955"/>
    <w:rsid w:val="00A32E21"/>
    <w:rsid w:val="00A32E46"/>
    <w:rsid w:val="00A32EA7"/>
    <w:rsid w:val="00A32F95"/>
    <w:rsid w:val="00A33042"/>
    <w:rsid w:val="00A3305B"/>
    <w:rsid w:val="00A33183"/>
    <w:rsid w:val="00A331B4"/>
    <w:rsid w:val="00A33451"/>
    <w:rsid w:val="00A3352A"/>
    <w:rsid w:val="00A336AC"/>
    <w:rsid w:val="00A3419D"/>
    <w:rsid w:val="00A341F7"/>
    <w:rsid w:val="00A3425B"/>
    <w:rsid w:val="00A34432"/>
    <w:rsid w:val="00A34833"/>
    <w:rsid w:val="00A34B76"/>
    <w:rsid w:val="00A350D3"/>
    <w:rsid w:val="00A3527D"/>
    <w:rsid w:val="00A35CF2"/>
    <w:rsid w:val="00A35F71"/>
    <w:rsid w:val="00A36184"/>
    <w:rsid w:val="00A361AA"/>
    <w:rsid w:val="00A36880"/>
    <w:rsid w:val="00A36939"/>
    <w:rsid w:val="00A36B4B"/>
    <w:rsid w:val="00A36DF0"/>
    <w:rsid w:val="00A36FFC"/>
    <w:rsid w:val="00A37434"/>
    <w:rsid w:val="00A37914"/>
    <w:rsid w:val="00A40501"/>
    <w:rsid w:val="00A407DD"/>
    <w:rsid w:val="00A40B2E"/>
    <w:rsid w:val="00A40F43"/>
    <w:rsid w:val="00A41306"/>
    <w:rsid w:val="00A4140A"/>
    <w:rsid w:val="00A41668"/>
    <w:rsid w:val="00A416AC"/>
    <w:rsid w:val="00A41B69"/>
    <w:rsid w:val="00A41EA1"/>
    <w:rsid w:val="00A41FA3"/>
    <w:rsid w:val="00A424B9"/>
    <w:rsid w:val="00A427CB"/>
    <w:rsid w:val="00A42F04"/>
    <w:rsid w:val="00A42FCF"/>
    <w:rsid w:val="00A43212"/>
    <w:rsid w:val="00A43447"/>
    <w:rsid w:val="00A4352B"/>
    <w:rsid w:val="00A43A4E"/>
    <w:rsid w:val="00A43B58"/>
    <w:rsid w:val="00A44234"/>
    <w:rsid w:val="00A44281"/>
    <w:rsid w:val="00A449DE"/>
    <w:rsid w:val="00A44ACF"/>
    <w:rsid w:val="00A44B93"/>
    <w:rsid w:val="00A44D62"/>
    <w:rsid w:val="00A4502F"/>
    <w:rsid w:val="00A452BF"/>
    <w:rsid w:val="00A45373"/>
    <w:rsid w:val="00A4547C"/>
    <w:rsid w:val="00A45600"/>
    <w:rsid w:val="00A459AF"/>
    <w:rsid w:val="00A45B41"/>
    <w:rsid w:val="00A45F59"/>
    <w:rsid w:val="00A46207"/>
    <w:rsid w:val="00A462F5"/>
    <w:rsid w:val="00A46CE1"/>
    <w:rsid w:val="00A46EC5"/>
    <w:rsid w:val="00A46F96"/>
    <w:rsid w:val="00A470FD"/>
    <w:rsid w:val="00A471C6"/>
    <w:rsid w:val="00A4759E"/>
    <w:rsid w:val="00A47EF5"/>
    <w:rsid w:val="00A5029E"/>
    <w:rsid w:val="00A5029F"/>
    <w:rsid w:val="00A50C20"/>
    <w:rsid w:val="00A51035"/>
    <w:rsid w:val="00A51274"/>
    <w:rsid w:val="00A51479"/>
    <w:rsid w:val="00A516CF"/>
    <w:rsid w:val="00A516DC"/>
    <w:rsid w:val="00A519BF"/>
    <w:rsid w:val="00A51FF1"/>
    <w:rsid w:val="00A52115"/>
    <w:rsid w:val="00A5226F"/>
    <w:rsid w:val="00A522F9"/>
    <w:rsid w:val="00A52776"/>
    <w:rsid w:val="00A527BD"/>
    <w:rsid w:val="00A5294D"/>
    <w:rsid w:val="00A529BC"/>
    <w:rsid w:val="00A52AFA"/>
    <w:rsid w:val="00A52D01"/>
    <w:rsid w:val="00A5325F"/>
    <w:rsid w:val="00A53453"/>
    <w:rsid w:val="00A5352F"/>
    <w:rsid w:val="00A537A2"/>
    <w:rsid w:val="00A53A80"/>
    <w:rsid w:val="00A5538E"/>
    <w:rsid w:val="00A55596"/>
    <w:rsid w:val="00A55D5E"/>
    <w:rsid w:val="00A560D7"/>
    <w:rsid w:val="00A5652E"/>
    <w:rsid w:val="00A56626"/>
    <w:rsid w:val="00A56665"/>
    <w:rsid w:val="00A5674B"/>
    <w:rsid w:val="00A56792"/>
    <w:rsid w:val="00A56CA1"/>
    <w:rsid w:val="00A5712A"/>
    <w:rsid w:val="00A5718B"/>
    <w:rsid w:val="00A57307"/>
    <w:rsid w:val="00A573CF"/>
    <w:rsid w:val="00A5771E"/>
    <w:rsid w:val="00A60312"/>
    <w:rsid w:val="00A6032F"/>
    <w:rsid w:val="00A60418"/>
    <w:rsid w:val="00A605AC"/>
    <w:rsid w:val="00A608B1"/>
    <w:rsid w:val="00A608B2"/>
    <w:rsid w:val="00A60CAA"/>
    <w:rsid w:val="00A60EE6"/>
    <w:rsid w:val="00A60EEF"/>
    <w:rsid w:val="00A61072"/>
    <w:rsid w:val="00A6117C"/>
    <w:rsid w:val="00A61650"/>
    <w:rsid w:val="00A618A3"/>
    <w:rsid w:val="00A61D29"/>
    <w:rsid w:val="00A61DFD"/>
    <w:rsid w:val="00A61E0F"/>
    <w:rsid w:val="00A6298F"/>
    <w:rsid w:val="00A62DCC"/>
    <w:rsid w:val="00A63078"/>
    <w:rsid w:val="00A6362D"/>
    <w:rsid w:val="00A637C4"/>
    <w:rsid w:val="00A63865"/>
    <w:rsid w:val="00A63CF2"/>
    <w:rsid w:val="00A63E94"/>
    <w:rsid w:val="00A64148"/>
    <w:rsid w:val="00A643FA"/>
    <w:rsid w:val="00A64560"/>
    <w:rsid w:val="00A64B19"/>
    <w:rsid w:val="00A64BF1"/>
    <w:rsid w:val="00A64D5E"/>
    <w:rsid w:val="00A654F2"/>
    <w:rsid w:val="00A656A6"/>
    <w:rsid w:val="00A657F9"/>
    <w:rsid w:val="00A65842"/>
    <w:rsid w:val="00A65DD5"/>
    <w:rsid w:val="00A65E5A"/>
    <w:rsid w:val="00A662C3"/>
    <w:rsid w:val="00A66330"/>
    <w:rsid w:val="00A669F7"/>
    <w:rsid w:val="00A66D0A"/>
    <w:rsid w:val="00A66EC7"/>
    <w:rsid w:val="00A66F17"/>
    <w:rsid w:val="00A6703E"/>
    <w:rsid w:val="00A67E4A"/>
    <w:rsid w:val="00A67E53"/>
    <w:rsid w:val="00A67F35"/>
    <w:rsid w:val="00A7049D"/>
    <w:rsid w:val="00A7117E"/>
    <w:rsid w:val="00A71489"/>
    <w:rsid w:val="00A715F4"/>
    <w:rsid w:val="00A71906"/>
    <w:rsid w:val="00A71D36"/>
    <w:rsid w:val="00A71DFA"/>
    <w:rsid w:val="00A723CB"/>
    <w:rsid w:val="00A725C1"/>
    <w:rsid w:val="00A729F7"/>
    <w:rsid w:val="00A72AC8"/>
    <w:rsid w:val="00A72FF8"/>
    <w:rsid w:val="00A7313F"/>
    <w:rsid w:val="00A734C8"/>
    <w:rsid w:val="00A7387E"/>
    <w:rsid w:val="00A73DBC"/>
    <w:rsid w:val="00A73FBB"/>
    <w:rsid w:val="00A744CE"/>
    <w:rsid w:val="00A744E5"/>
    <w:rsid w:val="00A745F7"/>
    <w:rsid w:val="00A749AA"/>
    <w:rsid w:val="00A74CE3"/>
    <w:rsid w:val="00A74D40"/>
    <w:rsid w:val="00A74D73"/>
    <w:rsid w:val="00A74FE3"/>
    <w:rsid w:val="00A7528B"/>
    <w:rsid w:val="00A758C3"/>
    <w:rsid w:val="00A75B5E"/>
    <w:rsid w:val="00A75C6E"/>
    <w:rsid w:val="00A75DF3"/>
    <w:rsid w:val="00A75FC4"/>
    <w:rsid w:val="00A7604B"/>
    <w:rsid w:val="00A76592"/>
    <w:rsid w:val="00A769BB"/>
    <w:rsid w:val="00A76BDD"/>
    <w:rsid w:val="00A76EDB"/>
    <w:rsid w:val="00A76F57"/>
    <w:rsid w:val="00A7732A"/>
    <w:rsid w:val="00A776E0"/>
    <w:rsid w:val="00A77A8A"/>
    <w:rsid w:val="00A77B2E"/>
    <w:rsid w:val="00A77F68"/>
    <w:rsid w:val="00A8014F"/>
    <w:rsid w:val="00A8023C"/>
    <w:rsid w:val="00A80440"/>
    <w:rsid w:val="00A8053F"/>
    <w:rsid w:val="00A807BF"/>
    <w:rsid w:val="00A809C6"/>
    <w:rsid w:val="00A80B51"/>
    <w:rsid w:val="00A80BA8"/>
    <w:rsid w:val="00A80FA9"/>
    <w:rsid w:val="00A81003"/>
    <w:rsid w:val="00A81071"/>
    <w:rsid w:val="00A81179"/>
    <w:rsid w:val="00A812C7"/>
    <w:rsid w:val="00A8147C"/>
    <w:rsid w:val="00A818AF"/>
    <w:rsid w:val="00A818E7"/>
    <w:rsid w:val="00A819BF"/>
    <w:rsid w:val="00A81B7C"/>
    <w:rsid w:val="00A81BE8"/>
    <w:rsid w:val="00A82054"/>
    <w:rsid w:val="00A8244E"/>
    <w:rsid w:val="00A82690"/>
    <w:rsid w:val="00A826F8"/>
    <w:rsid w:val="00A82767"/>
    <w:rsid w:val="00A829C0"/>
    <w:rsid w:val="00A82D43"/>
    <w:rsid w:val="00A82F25"/>
    <w:rsid w:val="00A833DE"/>
    <w:rsid w:val="00A83459"/>
    <w:rsid w:val="00A837B2"/>
    <w:rsid w:val="00A839D7"/>
    <w:rsid w:val="00A83E55"/>
    <w:rsid w:val="00A8410A"/>
    <w:rsid w:val="00A842BE"/>
    <w:rsid w:val="00A842C2"/>
    <w:rsid w:val="00A842DD"/>
    <w:rsid w:val="00A84C60"/>
    <w:rsid w:val="00A84CF3"/>
    <w:rsid w:val="00A84E7C"/>
    <w:rsid w:val="00A84F02"/>
    <w:rsid w:val="00A84FF1"/>
    <w:rsid w:val="00A85085"/>
    <w:rsid w:val="00A850C4"/>
    <w:rsid w:val="00A8528B"/>
    <w:rsid w:val="00A85386"/>
    <w:rsid w:val="00A85473"/>
    <w:rsid w:val="00A857F5"/>
    <w:rsid w:val="00A85809"/>
    <w:rsid w:val="00A85845"/>
    <w:rsid w:val="00A85AA7"/>
    <w:rsid w:val="00A85DC3"/>
    <w:rsid w:val="00A85F65"/>
    <w:rsid w:val="00A860AA"/>
    <w:rsid w:val="00A863E9"/>
    <w:rsid w:val="00A86546"/>
    <w:rsid w:val="00A86619"/>
    <w:rsid w:val="00A86C0A"/>
    <w:rsid w:val="00A86C22"/>
    <w:rsid w:val="00A86D0A"/>
    <w:rsid w:val="00A86DE3"/>
    <w:rsid w:val="00A86F77"/>
    <w:rsid w:val="00A87110"/>
    <w:rsid w:val="00A871EA"/>
    <w:rsid w:val="00A87265"/>
    <w:rsid w:val="00A873F9"/>
    <w:rsid w:val="00A87574"/>
    <w:rsid w:val="00A876B8"/>
    <w:rsid w:val="00A87AA8"/>
    <w:rsid w:val="00A87D01"/>
    <w:rsid w:val="00A87E0F"/>
    <w:rsid w:val="00A900BA"/>
    <w:rsid w:val="00A90306"/>
    <w:rsid w:val="00A903D3"/>
    <w:rsid w:val="00A904DC"/>
    <w:rsid w:val="00A9060C"/>
    <w:rsid w:val="00A907B2"/>
    <w:rsid w:val="00A90AF1"/>
    <w:rsid w:val="00A90D35"/>
    <w:rsid w:val="00A90D90"/>
    <w:rsid w:val="00A90ECA"/>
    <w:rsid w:val="00A91058"/>
    <w:rsid w:val="00A910DB"/>
    <w:rsid w:val="00A91389"/>
    <w:rsid w:val="00A91BE5"/>
    <w:rsid w:val="00A925B2"/>
    <w:rsid w:val="00A92769"/>
    <w:rsid w:val="00A93200"/>
    <w:rsid w:val="00A9352D"/>
    <w:rsid w:val="00A939CB"/>
    <w:rsid w:val="00A93AC3"/>
    <w:rsid w:val="00A93E9C"/>
    <w:rsid w:val="00A93F87"/>
    <w:rsid w:val="00A94269"/>
    <w:rsid w:val="00A942CD"/>
    <w:rsid w:val="00A9441B"/>
    <w:rsid w:val="00A94A5F"/>
    <w:rsid w:val="00A94E66"/>
    <w:rsid w:val="00A94F95"/>
    <w:rsid w:val="00A95822"/>
    <w:rsid w:val="00A95BCB"/>
    <w:rsid w:val="00A95BE4"/>
    <w:rsid w:val="00A961A6"/>
    <w:rsid w:val="00A96554"/>
    <w:rsid w:val="00A965AA"/>
    <w:rsid w:val="00A96634"/>
    <w:rsid w:val="00A96C1D"/>
    <w:rsid w:val="00A96C41"/>
    <w:rsid w:val="00A9715C"/>
    <w:rsid w:val="00A97308"/>
    <w:rsid w:val="00A9748D"/>
    <w:rsid w:val="00A97783"/>
    <w:rsid w:val="00A97882"/>
    <w:rsid w:val="00A97C0E"/>
    <w:rsid w:val="00A97D71"/>
    <w:rsid w:val="00A97EC6"/>
    <w:rsid w:val="00A97F2E"/>
    <w:rsid w:val="00AA0138"/>
    <w:rsid w:val="00AA0468"/>
    <w:rsid w:val="00AA066A"/>
    <w:rsid w:val="00AA0EA8"/>
    <w:rsid w:val="00AA0F24"/>
    <w:rsid w:val="00AA0F8C"/>
    <w:rsid w:val="00AA1450"/>
    <w:rsid w:val="00AA2512"/>
    <w:rsid w:val="00AA270F"/>
    <w:rsid w:val="00AA2872"/>
    <w:rsid w:val="00AA2E1A"/>
    <w:rsid w:val="00AA2F53"/>
    <w:rsid w:val="00AA3094"/>
    <w:rsid w:val="00AA3203"/>
    <w:rsid w:val="00AA3481"/>
    <w:rsid w:val="00AA3D7C"/>
    <w:rsid w:val="00AA3E09"/>
    <w:rsid w:val="00AA3EC8"/>
    <w:rsid w:val="00AA3FB6"/>
    <w:rsid w:val="00AA430D"/>
    <w:rsid w:val="00AA43F3"/>
    <w:rsid w:val="00AA4417"/>
    <w:rsid w:val="00AA480E"/>
    <w:rsid w:val="00AA4A08"/>
    <w:rsid w:val="00AA4B37"/>
    <w:rsid w:val="00AA4F3C"/>
    <w:rsid w:val="00AA5439"/>
    <w:rsid w:val="00AA5D9F"/>
    <w:rsid w:val="00AA5E8C"/>
    <w:rsid w:val="00AA680F"/>
    <w:rsid w:val="00AA6A7F"/>
    <w:rsid w:val="00AA6D0A"/>
    <w:rsid w:val="00AA6E1D"/>
    <w:rsid w:val="00AA6FC1"/>
    <w:rsid w:val="00AA71F1"/>
    <w:rsid w:val="00AA7516"/>
    <w:rsid w:val="00AA7C5A"/>
    <w:rsid w:val="00AA7D44"/>
    <w:rsid w:val="00AA7F91"/>
    <w:rsid w:val="00AB004C"/>
    <w:rsid w:val="00AB0172"/>
    <w:rsid w:val="00AB0356"/>
    <w:rsid w:val="00AB03E9"/>
    <w:rsid w:val="00AB079B"/>
    <w:rsid w:val="00AB0919"/>
    <w:rsid w:val="00AB09EC"/>
    <w:rsid w:val="00AB0BB6"/>
    <w:rsid w:val="00AB0ECE"/>
    <w:rsid w:val="00AB0F4A"/>
    <w:rsid w:val="00AB129A"/>
    <w:rsid w:val="00AB12C3"/>
    <w:rsid w:val="00AB150B"/>
    <w:rsid w:val="00AB1C17"/>
    <w:rsid w:val="00AB2213"/>
    <w:rsid w:val="00AB2C60"/>
    <w:rsid w:val="00AB2E8F"/>
    <w:rsid w:val="00AB2F15"/>
    <w:rsid w:val="00AB3691"/>
    <w:rsid w:val="00AB3917"/>
    <w:rsid w:val="00AB3A5B"/>
    <w:rsid w:val="00AB3CD7"/>
    <w:rsid w:val="00AB3EC2"/>
    <w:rsid w:val="00AB3F69"/>
    <w:rsid w:val="00AB455C"/>
    <w:rsid w:val="00AB45D1"/>
    <w:rsid w:val="00AB45FA"/>
    <w:rsid w:val="00AB46EB"/>
    <w:rsid w:val="00AB477B"/>
    <w:rsid w:val="00AB4E60"/>
    <w:rsid w:val="00AB4F60"/>
    <w:rsid w:val="00AB520B"/>
    <w:rsid w:val="00AB5336"/>
    <w:rsid w:val="00AB564F"/>
    <w:rsid w:val="00AB5678"/>
    <w:rsid w:val="00AB5E51"/>
    <w:rsid w:val="00AB5FF4"/>
    <w:rsid w:val="00AB62FD"/>
    <w:rsid w:val="00AB63E5"/>
    <w:rsid w:val="00AB69BB"/>
    <w:rsid w:val="00AB6A5D"/>
    <w:rsid w:val="00AB74CC"/>
    <w:rsid w:val="00AB7521"/>
    <w:rsid w:val="00AB75AD"/>
    <w:rsid w:val="00AB7733"/>
    <w:rsid w:val="00AB7A84"/>
    <w:rsid w:val="00AB7E79"/>
    <w:rsid w:val="00AC0124"/>
    <w:rsid w:val="00AC02EA"/>
    <w:rsid w:val="00AC05DA"/>
    <w:rsid w:val="00AC081B"/>
    <w:rsid w:val="00AC0BC5"/>
    <w:rsid w:val="00AC1A0E"/>
    <w:rsid w:val="00AC1C87"/>
    <w:rsid w:val="00AC2294"/>
    <w:rsid w:val="00AC230B"/>
    <w:rsid w:val="00AC259A"/>
    <w:rsid w:val="00AC259C"/>
    <w:rsid w:val="00AC2CC1"/>
    <w:rsid w:val="00AC2FC2"/>
    <w:rsid w:val="00AC2FED"/>
    <w:rsid w:val="00AC30D1"/>
    <w:rsid w:val="00AC3267"/>
    <w:rsid w:val="00AC3B62"/>
    <w:rsid w:val="00AC3D61"/>
    <w:rsid w:val="00AC443A"/>
    <w:rsid w:val="00AC45DF"/>
    <w:rsid w:val="00AC4684"/>
    <w:rsid w:val="00AC4839"/>
    <w:rsid w:val="00AC490F"/>
    <w:rsid w:val="00AC4BE4"/>
    <w:rsid w:val="00AC4F48"/>
    <w:rsid w:val="00AC4FD7"/>
    <w:rsid w:val="00AC51CC"/>
    <w:rsid w:val="00AC53F0"/>
    <w:rsid w:val="00AC55B5"/>
    <w:rsid w:val="00AC5AF2"/>
    <w:rsid w:val="00AC5C09"/>
    <w:rsid w:val="00AC5EC4"/>
    <w:rsid w:val="00AC65C2"/>
    <w:rsid w:val="00AC66D3"/>
    <w:rsid w:val="00AC6D6B"/>
    <w:rsid w:val="00AC7053"/>
    <w:rsid w:val="00AC708D"/>
    <w:rsid w:val="00AC735C"/>
    <w:rsid w:val="00AC73D2"/>
    <w:rsid w:val="00AC744E"/>
    <w:rsid w:val="00AC7534"/>
    <w:rsid w:val="00AC75AF"/>
    <w:rsid w:val="00AC7F49"/>
    <w:rsid w:val="00AD007A"/>
    <w:rsid w:val="00AD034A"/>
    <w:rsid w:val="00AD05CB"/>
    <w:rsid w:val="00AD096F"/>
    <w:rsid w:val="00AD0EAB"/>
    <w:rsid w:val="00AD10B7"/>
    <w:rsid w:val="00AD1215"/>
    <w:rsid w:val="00AD12DC"/>
    <w:rsid w:val="00AD1317"/>
    <w:rsid w:val="00AD142B"/>
    <w:rsid w:val="00AD164E"/>
    <w:rsid w:val="00AD1754"/>
    <w:rsid w:val="00AD2042"/>
    <w:rsid w:val="00AD238B"/>
    <w:rsid w:val="00AD2BDF"/>
    <w:rsid w:val="00AD2BF3"/>
    <w:rsid w:val="00AD2EB0"/>
    <w:rsid w:val="00AD337D"/>
    <w:rsid w:val="00AD35EF"/>
    <w:rsid w:val="00AD3DE1"/>
    <w:rsid w:val="00AD3EAF"/>
    <w:rsid w:val="00AD41CA"/>
    <w:rsid w:val="00AD4262"/>
    <w:rsid w:val="00AD47EF"/>
    <w:rsid w:val="00AD49DF"/>
    <w:rsid w:val="00AD4A80"/>
    <w:rsid w:val="00AD4B93"/>
    <w:rsid w:val="00AD510A"/>
    <w:rsid w:val="00AD5302"/>
    <w:rsid w:val="00AD5AE2"/>
    <w:rsid w:val="00AD5BBC"/>
    <w:rsid w:val="00AD5DD6"/>
    <w:rsid w:val="00AD6222"/>
    <w:rsid w:val="00AD6275"/>
    <w:rsid w:val="00AD6276"/>
    <w:rsid w:val="00AD631C"/>
    <w:rsid w:val="00AD6486"/>
    <w:rsid w:val="00AD68DA"/>
    <w:rsid w:val="00AD695E"/>
    <w:rsid w:val="00AD6F79"/>
    <w:rsid w:val="00AD7162"/>
    <w:rsid w:val="00AD7284"/>
    <w:rsid w:val="00AD734F"/>
    <w:rsid w:val="00AD745B"/>
    <w:rsid w:val="00AD78E1"/>
    <w:rsid w:val="00AD7A2A"/>
    <w:rsid w:val="00AD7BAA"/>
    <w:rsid w:val="00AE092A"/>
    <w:rsid w:val="00AE11F0"/>
    <w:rsid w:val="00AE1395"/>
    <w:rsid w:val="00AE15DA"/>
    <w:rsid w:val="00AE1A70"/>
    <w:rsid w:val="00AE1C82"/>
    <w:rsid w:val="00AE1FF5"/>
    <w:rsid w:val="00AE2092"/>
    <w:rsid w:val="00AE225B"/>
    <w:rsid w:val="00AE26A4"/>
    <w:rsid w:val="00AE27F0"/>
    <w:rsid w:val="00AE280E"/>
    <w:rsid w:val="00AE2992"/>
    <w:rsid w:val="00AE29D2"/>
    <w:rsid w:val="00AE2AFA"/>
    <w:rsid w:val="00AE2DF8"/>
    <w:rsid w:val="00AE2FE3"/>
    <w:rsid w:val="00AE3867"/>
    <w:rsid w:val="00AE39C8"/>
    <w:rsid w:val="00AE4061"/>
    <w:rsid w:val="00AE43C7"/>
    <w:rsid w:val="00AE4446"/>
    <w:rsid w:val="00AE47F0"/>
    <w:rsid w:val="00AE4943"/>
    <w:rsid w:val="00AE4B85"/>
    <w:rsid w:val="00AE4BF8"/>
    <w:rsid w:val="00AE4C8F"/>
    <w:rsid w:val="00AE4D0B"/>
    <w:rsid w:val="00AE51E0"/>
    <w:rsid w:val="00AE520A"/>
    <w:rsid w:val="00AE5259"/>
    <w:rsid w:val="00AE528B"/>
    <w:rsid w:val="00AE52D0"/>
    <w:rsid w:val="00AE552D"/>
    <w:rsid w:val="00AE55E5"/>
    <w:rsid w:val="00AE5704"/>
    <w:rsid w:val="00AE5A9C"/>
    <w:rsid w:val="00AE5B33"/>
    <w:rsid w:val="00AE5DF2"/>
    <w:rsid w:val="00AE661A"/>
    <w:rsid w:val="00AE67C1"/>
    <w:rsid w:val="00AE6A7A"/>
    <w:rsid w:val="00AE6FF6"/>
    <w:rsid w:val="00AE727E"/>
    <w:rsid w:val="00AE7B2B"/>
    <w:rsid w:val="00AE7E5F"/>
    <w:rsid w:val="00AE7F69"/>
    <w:rsid w:val="00AF00DD"/>
    <w:rsid w:val="00AF0138"/>
    <w:rsid w:val="00AF0434"/>
    <w:rsid w:val="00AF0508"/>
    <w:rsid w:val="00AF06A4"/>
    <w:rsid w:val="00AF0805"/>
    <w:rsid w:val="00AF0B72"/>
    <w:rsid w:val="00AF1108"/>
    <w:rsid w:val="00AF1158"/>
    <w:rsid w:val="00AF1206"/>
    <w:rsid w:val="00AF1259"/>
    <w:rsid w:val="00AF16C0"/>
    <w:rsid w:val="00AF1C41"/>
    <w:rsid w:val="00AF226E"/>
    <w:rsid w:val="00AF3384"/>
    <w:rsid w:val="00AF33BA"/>
    <w:rsid w:val="00AF3522"/>
    <w:rsid w:val="00AF3D88"/>
    <w:rsid w:val="00AF3E95"/>
    <w:rsid w:val="00AF3F55"/>
    <w:rsid w:val="00AF3F91"/>
    <w:rsid w:val="00AF411C"/>
    <w:rsid w:val="00AF431E"/>
    <w:rsid w:val="00AF4A2D"/>
    <w:rsid w:val="00AF4A70"/>
    <w:rsid w:val="00AF4CD9"/>
    <w:rsid w:val="00AF4E1E"/>
    <w:rsid w:val="00AF51C7"/>
    <w:rsid w:val="00AF563F"/>
    <w:rsid w:val="00AF5AB0"/>
    <w:rsid w:val="00AF678C"/>
    <w:rsid w:val="00AF683E"/>
    <w:rsid w:val="00AF68BD"/>
    <w:rsid w:val="00AF6EBA"/>
    <w:rsid w:val="00AF7070"/>
    <w:rsid w:val="00AF721D"/>
    <w:rsid w:val="00AF7544"/>
    <w:rsid w:val="00AF762F"/>
    <w:rsid w:val="00AF7872"/>
    <w:rsid w:val="00AF78BE"/>
    <w:rsid w:val="00B000D8"/>
    <w:rsid w:val="00B00330"/>
    <w:rsid w:val="00B004F1"/>
    <w:rsid w:val="00B0052A"/>
    <w:rsid w:val="00B00988"/>
    <w:rsid w:val="00B00AB3"/>
    <w:rsid w:val="00B00CB4"/>
    <w:rsid w:val="00B00CD9"/>
    <w:rsid w:val="00B00F74"/>
    <w:rsid w:val="00B00FD8"/>
    <w:rsid w:val="00B0127D"/>
    <w:rsid w:val="00B013C9"/>
    <w:rsid w:val="00B013E0"/>
    <w:rsid w:val="00B0148C"/>
    <w:rsid w:val="00B015A9"/>
    <w:rsid w:val="00B016A6"/>
    <w:rsid w:val="00B022F6"/>
    <w:rsid w:val="00B02466"/>
    <w:rsid w:val="00B0293C"/>
    <w:rsid w:val="00B02997"/>
    <w:rsid w:val="00B02C24"/>
    <w:rsid w:val="00B03152"/>
    <w:rsid w:val="00B03606"/>
    <w:rsid w:val="00B0381F"/>
    <w:rsid w:val="00B03A05"/>
    <w:rsid w:val="00B03E9F"/>
    <w:rsid w:val="00B040E4"/>
    <w:rsid w:val="00B047F8"/>
    <w:rsid w:val="00B051A6"/>
    <w:rsid w:val="00B0541B"/>
    <w:rsid w:val="00B0598A"/>
    <w:rsid w:val="00B0608B"/>
    <w:rsid w:val="00B063C6"/>
    <w:rsid w:val="00B06409"/>
    <w:rsid w:val="00B06441"/>
    <w:rsid w:val="00B06B65"/>
    <w:rsid w:val="00B06E82"/>
    <w:rsid w:val="00B076E0"/>
    <w:rsid w:val="00B07A9E"/>
    <w:rsid w:val="00B07BF6"/>
    <w:rsid w:val="00B10202"/>
    <w:rsid w:val="00B10311"/>
    <w:rsid w:val="00B10610"/>
    <w:rsid w:val="00B106FF"/>
    <w:rsid w:val="00B109EA"/>
    <w:rsid w:val="00B10C41"/>
    <w:rsid w:val="00B10C8A"/>
    <w:rsid w:val="00B10DC3"/>
    <w:rsid w:val="00B10E5F"/>
    <w:rsid w:val="00B118AC"/>
    <w:rsid w:val="00B11A69"/>
    <w:rsid w:val="00B11AFB"/>
    <w:rsid w:val="00B11B20"/>
    <w:rsid w:val="00B1208A"/>
    <w:rsid w:val="00B120C0"/>
    <w:rsid w:val="00B12247"/>
    <w:rsid w:val="00B1273E"/>
    <w:rsid w:val="00B127BE"/>
    <w:rsid w:val="00B128AE"/>
    <w:rsid w:val="00B129D9"/>
    <w:rsid w:val="00B12BCF"/>
    <w:rsid w:val="00B1362C"/>
    <w:rsid w:val="00B13859"/>
    <w:rsid w:val="00B13DD5"/>
    <w:rsid w:val="00B13F0B"/>
    <w:rsid w:val="00B14095"/>
    <w:rsid w:val="00B14B93"/>
    <w:rsid w:val="00B14BF6"/>
    <w:rsid w:val="00B14E8C"/>
    <w:rsid w:val="00B14EC0"/>
    <w:rsid w:val="00B152B8"/>
    <w:rsid w:val="00B152CB"/>
    <w:rsid w:val="00B1549A"/>
    <w:rsid w:val="00B1563A"/>
    <w:rsid w:val="00B15A16"/>
    <w:rsid w:val="00B16238"/>
    <w:rsid w:val="00B16272"/>
    <w:rsid w:val="00B163E5"/>
    <w:rsid w:val="00B16967"/>
    <w:rsid w:val="00B16D47"/>
    <w:rsid w:val="00B16FE6"/>
    <w:rsid w:val="00B17078"/>
    <w:rsid w:val="00B20036"/>
    <w:rsid w:val="00B20366"/>
    <w:rsid w:val="00B203DD"/>
    <w:rsid w:val="00B20EB6"/>
    <w:rsid w:val="00B20F15"/>
    <w:rsid w:val="00B21031"/>
    <w:rsid w:val="00B213AA"/>
    <w:rsid w:val="00B21DC5"/>
    <w:rsid w:val="00B22AB2"/>
    <w:rsid w:val="00B22EA3"/>
    <w:rsid w:val="00B22EF6"/>
    <w:rsid w:val="00B23392"/>
    <w:rsid w:val="00B234DE"/>
    <w:rsid w:val="00B234FB"/>
    <w:rsid w:val="00B2394D"/>
    <w:rsid w:val="00B23DD0"/>
    <w:rsid w:val="00B240A0"/>
    <w:rsid w:val="00B242E8"/>
    <w:rsid w:val="00B2460C"/>
    <w:rsid w:val="00B246DC"/>
    <w:rsid w:val="00B24769"/>
    <w:rsid w:val="00B24A2D"/>
    <w:rsid w:val="00B24B34"/>
    <w:rsid w:val="00B24C4E"/>
    <w:rsid w:val="00B24F10"/>
    <w:rsid w:val="00B25647"/>
    <w:rsid w:val="00B2569F"/>
    <w:rsid w:val="00B259FA"/>
    <w:rsid w:val="00B25BB9"/>
    <w:rsid w:val="00B25D60"/>
    <w:rsid w:val="00B25E3C"/>
    <w:rsid w:val="00B25E46"/>
    <w:rsid w:val="00B2611A"/>
    <w:rsid w:val="00B26388"/>
    <w:rsid w:val="00B269C1"/>
    <w:rsid w:val="00B26C0C"/>
    <w:rsid w:val="00B26E53"/>
    <w:rsid w:val="00B27424"/>
    <w:rsid w:val="00B27493"/>
    <w:rsid w:val="00B27567"/>
    <w:rsid w:val="00B27973"/>
    <w:rsid w:val="00B27E1C"/>
    <w:rsid w:val="00B27FE1"/>
    <w:rsid w:val="00B300DC"/>
    <w:rsid w:val="00B3011A"/>
    <w:rsid w:val="00B30550"/>
    <w:rsid w:val="00B305BE"/>
    <w:rsid w:val="00B3074D"/>
    <w:rsid w:val="00B30A8A"/>
    <w:rsid w:val="00B31425"/>
    <w:rsid w:val="00B3148D"/>
    <w:rsid w:val="00B315F4"/>
    <w:rsid w:val="00B318B0"/>
    <w:rsid w:val="00B31CE7"/>
    <w:rsid w:val="00B31F5A"/>
    <w:rsid w:val="00B31FA9"/>
    <w:rsid w:val="00B32020"/>
    <w:rsid w:val="00B32241"/>
    <w:rsid w:val="00B32B7D"/>
    <w:rsid w:val="00B32C4B"/>
    <w:rsid w:val="00B32D90"/>
    <w:rsid w:val="00B3322D"/>
    <w:rsid w:val="00B3380A"/>
    <w:rsid w:val="00B33B3A"/>
    <w:rsid w:val="00B33EB9"/>
    <w:rsid w:val="00B34025"/>
    <w:rsid w:val="00B34109"/>
    <w:rsid w:val="00B34212"/>
    <w:rsid w:val="00B34A58"/>
    <w:rsid w:val="00B34A7F"/>
    <w:rsid w:val="00B34DD2"/>
    <w:rsid w:val="00B35757"/>
    <w:rsid w:val="00B35A21"/>
    <w:rsid w:val="00B362C8"/>
    <w:rsid w:val="00B362FE"/>
    <w:rsid w:val="00B363E8"/>
    <w:rsid w:val="00B36728"/>
    <w:rsid w:val="00B367EE"/>
    <w:rsid w:val="00B36830"/>
    <w:rsid w:val="00B36A1E"/>
    <w:rsid w:val="00B36A95"/>
    <w:rsid w:val="00B36C3F"/>
    <w:rsid w:val="00B36FFF"/>
    <w:rsid w:val="00B378AE"/>
    <w:rsid w:val="00B37A34"/>
    <w:rsid w:val="00B37D0E"/>
    <w:rsid w:val="00B37FEA"/>
    <w:rsid w:val="00B4007A"/>
    <w:rsid w:val="00B4025C"/>
    <w:rsid w:val="00B407AE"/>
    <w:rsid w:val="00B40846"/>
    <w:rsid w:val="00B40A01"/>
    <w:rsid w:val="00B40AEE"/>
    <w:rsid w:val="00B40B97"/>
    <w:rsid w:val="00B40BD7"/>
    <w:rsid w:val="00B40C92"/>
    <w:rsid w:val="00B40F08"/>
    <w:rsid w:val="00B41411"/>
    <w:rsid w:val="00B417B9"/>
    <w:rsid w:val="00B417EF"/>
    <w:rsid w:val="00B41D3F"/>
    <w:rsid w:val="00B41D49"/>
    <w:rsid w:val="00B41DB6"/>
    <w:rsid w:val="00B41E80"/>
    <w:rsid w:val="00B4251D"/>
    <w:rsid w:val="00B42F74"/>
    <w:rsid w:val="00B43377"/>
    <w:rsid w:val="00B434AC"/>
    <w:rsid w:val="00B436A1"/>
    <w:rsid w:val="00B43736"/>
    <w:rsid w:val="00B43927"/>
    <w:rsid w:val="00B43EB4"/>
    <w:rsid w:val="00B43ED1"/>
    <w:rsid w:val="00B43F44"/>
    <w:rsid w:val="00B43F6B"/>
    <w:rsid w:val="00B445D9"/>
    <w:rsid w:val="00B446DA"/>
    <w:rsid w:val="00B44754"/>
    <w:rsid w:val="00B44C7B"/>
    <w:rsid w:val="00B44D8E"/>
    <w:rsid w:val="00B44F4B"/>
    <w:rsid w:val="00B45148"/>
    <w:rsid w:val="00B46001"/>
    <w:rsid w:val="00B46209"/>
    <w:rsid w:val="00B4628D"/>
    <w:rsid w:val="00B46550"/>
    <w:rsid w:val="00B46770"/>
    <w:rsid w:val="00B46812"/>
    <w:rsid w:val="00B46C92"/>
    <w:rsid w:val="00B4714D"/>
    <w:rsid w:val="00B47150"/>
    <w:rsid w:val="00B472FA"/>
    <w:rsid w:val="00B47A55"/>
    <w:rsid w:val="00B47FA9"/>
    <w:rsid w:val="00B502F1"/>
    <w:rsid w:val="00B505DB"/>
    <w:rsid w:val="00B50A65"/>
    <w:rsid w:val="00B50B3B"/>
    <w:rsid w:val="00B512F8"/>
    <w:rsid w:val="00B5146E"/>
    <w:rsid w:val="00B519DB"/>
    <w:rsid w:val="00B51A63"/>
    <w:rsid w:val="00B51B23"/>
    <w:rsid w:val="00B51D4A"/>
    <w:rsid w:val="00B51E3A"/>
    <w:rsid w:val="00B51FAE"/>
    <w:rsid w:val="00B5234A"/>
    <w:rsid w:val="00B5244B"/>
    <w:rsid w:val="00B525B7"/>
    <w:rsid w:val="00B5297B"/>
    <w:rsid w:val="00B52A11"/>
    <w:rsid w:val="00B52BB0"/>
    <w:rsid w:val="00B52F38"/>
    <w:rsid w:val="00B52FBE"/>
    <w:rsid w:val="00B531FD"/>
    <w:rsid w:val="00B5326B"/>
    <w:rsid w:val="00B532A2"/>
    <w:rsid w:val="00B5358D"/>
    <w:rsid w:val="00B53729"/>
    <w:rsid w:val="00B53D87"/>
    <w:rsid w:val="00B53E46"/>
    <w:rsid w:val="00B54251"/>
    <w:rsid w:val="00B5426C"/>
    <w:rsid w:val="00B543D3"/>
    <w:rsid w:val="00B543DB"/>
    <w:rsid w:val="00B549DB"/>
    <w:rsid w:val="00B54D13"/>
    <w:rsid w:val="00B55134"/>
    <w:rsid w:val="00B556AC"/>
    <w:rsid w:val="00B55EB4"/>
    <w:rsid w:val="00B5610E"/>
    <w:rsid w:val="00B56D30"/>
    <w:rsid w:val="00B571C1"/>
    <w:rsid w:val="00B5720E"/>
    <w:rsid w:val="00B575BB"/>
    <w:rsid w:val="00B575BD"/>
    <w:rsid w:val="00B575F4"/>
    <w:rsid w:val="00B576BC"/>
    <w:rsid w:val="00B57B81"/>
    <w:rsid w:val="00B60339"/>
    <w:rsid w:val="00B60379"/>
    <w:rsid w:val="00B6081A"/>
    <w:rsid w:val="00B60AC0"/>
    <w:rsid w:val="00B60DD4"/>
    <w:rsid w:val="00B60E7A"/>
    <w:rsid w:val="00B611E8"/>
    <w:rsid w:val="00B61610"/>
    <w:rsid w:val="00B6161F"/>
    <w:rsid w:val="00B61728"/>
    <w:rsid w:val="00B619C7"/>
    <w:rsid w:val="00B61DCC"/>
    <w:rsid w:val="00B621F4"/>
    <w:rsid w:val="00B6226B"/>
    <w:rsid w:val="00B622F5"/>
    <w:rsid w:val="00B6242D"/>
    <w:rsid w:val="00B62AA2"/>
    <w:rsid w:val="00B62C97"/>
    <w:rsid w:val="00B62E51"/>
    <w:rsid w:val="00B62ED2"/>
    <w:rsid w:val="00B62FC4"/>
    <w:rsid w:val="00B63404"/>
    <w:rsid w:val="00B63864"/>
    <w:rsid w:val="00B63CF4"/>
    <w:rsid w:val="00B63EE7"/>
    <w:rsid w:val="00B63F37"/>
    <w:rsid w:val="00B6421B"/>
    <w:rsid w:val="00B6473D"/>
    <w:rsid w:val="00B64839"/>
    <w:rsid w:val="00B6485D"/>
    <w:rsid w:val="00B64B03"/>
    <w:rsid w:val="00B64B5F"/>
    <w:rsid w:val="00B64D60"/>
    <w:rsid w:val="00B64E4A"/>
    <w:rsid w:val="00B64EDC"/>
    <w:rsid w:val="00B64FA9"/>
    <w:rsid w:val="00B6529B"/>
    <w:rsid w:val="00B65461"/>
    <w:rsid w:val="00B65576"/>
    <w:rsid w:val="00B657E5"/>
    <w:rsid w:val="00B65811"/>
    <w:rsid w:val="00B65837"/>
    <w:rsid w:val="00B65967"/>
    <w:rsid w:val="00B65F4C"/>
    <w:rsid w:val="00B661D3"/>
    <w:rsid w:val="00B66376"/>
    <w:rsid w:val="00B66BB4"/>
    <w:rsid w:val="00B6727E"/>
    <w:rsid w:val="00B67746"/>
    <w:rsid w:val="00B677AE"/>
    <w:rsid w:val="00B67A51"/>
    <w:rsid w:val="00B7004B"/>
    <w:rsid w:val="00B701B5"/>
    <w:rsid w:val="00B70375"/>
    <w:rsid w:val="00B70D6F"/>
    <w:rsid w:val="00B71440"/>
    <w:rsid w:val="00B7153C"/>
    <w:rsid w:val="00B7172F"/>
    <w:rsid w:val="00B7196D"/>
    <w:rsid w:val="00B71C79"/>
    <w:rsid w:val="00B71D80"/>
    <w:rsid w:val="00B725A7"/>
    <w:rsid w:val="00B72A34"/>
    <w:rsid w:val="00B73275"/>
    <w:rsid w:val="00B732EB"/>
    <w:rsid w:val="00B734CF"/>
    <w:rsid w:val="00B73519"/>
    <w:rsid w:val="00B739BC"/>
    <w:rsid w:val="00B73A55"/>
    <w:rsid w:val="00B73CCE"/>
    <w:rsid w:val="00B73F58"/>
    <w:rsid w:val="00B74092"/>
    <w:rsid w:val="00B742E3"/>
    <w:rsid w:val="00B744A9"/>
    <w:rsid w:val="00B749D4"/>
    <w:rsid w:val="00B74B80"/>
    <w:rsid w:val="00B74C34"/>
    <w:rsid w:val="00B74C69"/>
    <w:rsid w:val="00B74E9B"/>
    <w:rsid w:val="00B74F0B"/>
    <w:rsid w:val="00B752A4"/>
    <w:rsid w:val="00B754DA"/>
    <w:rsid w:val="00B75873"/>
    <w:rsid w:val="00B75B8A"/>
    <w:rsid w:val="00B75BF9"/>
    <w:rsid w:val="00B75E82"/>
    <w:rsid w:val="00B75F04"/>
    <w:rsid w:val="00B76322"/>
    <w:rsid w:val="00B766AC"/>
    <w:rsid w:val="00B76AAC"/>
    <w:rsid w:val="00B76D47"/>
    <w:rsid w:val="00B76FAC"/>
    <w:rsid w:val="00B7705A"/>
    <w:rsid w:val="00B77080"/>
    <w:rsid w:val="00B77120"/>
    <w:rsid w:val="00B778A4"/>
    <w:rsid w:val="00B779C6"/>
    <w:rsid w:val="00B77FBF"/>
    <w:rsid w:val="00B800FD"/>
    <w:rsid w:val="00B8020F"/>
    <w:rsid w:val="00B80409"/>
    <w:rsid w:val="00B80505"/>
    <w:rsid w:val="00B80850"/>
    <w:rsid w:val="00B809C1"/>
    <w:rsid w:val="00B81263"/>
    <w:rsid w:val="00B81334"/>
    <w:rsid w:val="00B816EB"/>
    <w:rsid w:val="00B81731"/>
    <w:rsid w:val="00B8179F"/>
    <w:rsid w:val="00B81B39"/>
    <w:rsid w:val="00B82727"/>
    <w:rsid w:val="00B828B9"/>
    <w:rsid w:val="00B82917"/>
    <w:rsid w:val="00B82951"/>
    <w:rsid w:val="00B82C44"/>
    <w:rsid w:val="00B83278"/>
    <w:rsid w:val="00B83576"/>
    <w:rsid w:val="00B83D6B"/>
    <w:rsid w:val="00B8417A"/>
    <w:rsid w:val="00B84330"/>
    <w:rsid w:val="00B84535"/>
    <w:rsid w:val="00B8488A"/>
    <w:rsid w:val="00B84DEE"/>
    <w:rsid w:val="00B855DC"/>
    <w:rsid w:val="00B855E2"/>
    <w:rsid w:val="00B85749"/>
    <w:rsid w:val="00B85BEA"/>
    <w:rsid w:val="00B8625F"/>
    <w:rsid w:val="00B8638A"/>
    <w:rsid w:val="00B86416"/>
    <w:rsid w:val="00B86B50"/>
    <w:rsid w:val="00B86C11"/>
    <w:rsid w:val="00B8706B"/>
    <w:rsid w:val="00B871B1"/>
    <w:rsid w:val="00B871CD"/>
    <w:rsid w:val="00B872F2"/>
    <w:rsid w:val="00B87389"/>
    <w:rsid w:val="00B879F2"/>
    <w:rsid w:val="00B87BFD"/>
    <w:rsid w:val="00B87EAA"/>
    <w:rsid w:val="00B87F0E"/>
    <w:rsid w:val="00B90247"/>
    <w:rsid w:val="00B90283"/>
    <w:rsid w:val="00B904F0"/>
    <w:rsid w:val="00B906CF"/>
    <w:rsid w:val="00B9124F"/>
    <w:rsid w:val="00B91601"/>
    <w:rsid w:val="00B9173A"/>
    <w:rsid w:val="00B91AE9"/>
    <w:rsid w:val="00B91AED"/>
    <w:rsid w:val="00B91B4E"/>
    <w:rsid w:val="00B91B71"/>
    <w:rsid w:val="00B91C42"/>
    <w:rsid w:val="00B91DE1"/>
    <w:rsid w:val="00B91E80"/>
    <w:rsid w:val="00B91F52"/>
    <w:rsid w:val="00B922D0"/>
    <w:rsid w:val="00B923C4"/>
    <w:rsid w:val="00B92654"/>
    <w:rsid w:val="00B92694"/>
    <w:rsid w:val="00B9296C"/>
    <w:rsid w:val="00B93435"/>
    <w:rsid w:val="00B93B53"/>
    <w:rsid w:val="00B93ECF"/>
    <w:rsid w:val="00B941F6"/>
    <w:rsid w:val="00B941FC"/>
    <w:rsid w:val="00B9452F"/>
    <w:rsid w:val="00B9486A"/>
    <w:rsid w:val="00B94958"/>
    <w:rsid w:val="00B9499E"/>
    <w:rsid w:val="00B94CA4"/>
    <w:rsid w:val="00B951C5"/>
    <w:rsid w:val="00B95401"/>
    <w:rsid w:val="00B95438"/>
    <w:rsid w:val="00B955F9"/>
    <w:rsid w:val="00B957F3"/>
    <w:rsid w:val="00B95A24"/>
    <w:rsid w:val="00B95AD3"/>
    <w:rsid w:val="00B96321"/>
    <w:rsid w:val="00B965C8"/>
    <w:rsid w:val="00B9698E"/>
    <w:rsid w:val="00B96A23"/>
    <w:rsid w:val="00B96C7D"/>
    <w:rsid w:val="00B96CD6"/>
    <w:rsid w:val="00B96D8D"/>
    <w:rsid w:val="00B96DA2"/>
    <w:rsid w:val="00B96DEC"/>
    <w:rsid w:val="00B9755D"/>
    <w:rsid w:val="00B97656"/>
    <w:rsid w:val="00B977D5"/>
    <w:rsid w:val="00B97ABD"/>
    <w:rsid w:val="00B97AC6"/>
    <w:rsid w:val="00BA01F8"/>
    <w:rsid w:val="00BA02E6"/>
    <w:rsid w:val="00BA02F3"/>
    <w:rsid w:val="00BA046D"/>
    <w:rsid w:val="00BA06BD"/>
    <w:rsid w:val="00BA0945"/>
    <w:rsid w:val="00BA09BB"/>
    <w:rsid w:val="00BA0A32"/>
    <w:rsid w:val="00BA0B19"/>
    <w:rsid w:val="00BA0B73"/>
    <w:rsid w:val="00BA0CA9"/>
    <w:rsid w:val="00BA0E21"/>
    <w:rsid w:val="00BA10EA"/>
    <w:rsid w:val="00BA12F4"/>
    <w:rsid w:val="00BA181D"/>
    <w:rsid w:val="00BA1849"/>
    <w:rsid w:val="00BA188F"/>
    <w:rsid w:val="00BA1B68"/>
    <w:rsid w:val="00BA1D47"/>
    <w:rsid w:val="00BA2115"/>
    <w:rsid w:val="00BA2802"/>
    <w:rsid w:val="00BA2A3C"/>
    <w:rsid w:val="00BA2C88"/>
    <w:rsid w:val="00BA3463"/>
    <w:rsid w:val="00BA353E"/>
    <w:rsid w:val="00BA3B52"/>
    <w:rsid w:val="00BA3D2F"/>
    <w:rsid w:val="00BA3D87"/>
    <w:rsid w:val="00BA3E27"/>
    <w:rsid w:val="00BA444A"/>
    <w:rsid w:val="00BA468B"/>
    <w:rsid w:val="00BA4F2E"/>
    <w:rsid w:val="00BA50DD"/>
    <w:rsid w:val="00BA5D67"/>
    <w:rsid w:val="00BA615F"/>
    <w:rsid w:val="00BA68B6"/>
    <w:rsid w:val="00BA6A66"/>
    <w:rsid w:val="00BA6F23"/>
    <w:rsid w:val="00BA7246"/>
    <w:rsid w:val="00BA7346"/>
    <w:rsid w:val="00BA73A5"/>
    <w:rsid w:val="00BA7505"/>
    <w:rsid w:val="00BA781C"/>
    <w:rsid w:val="00BA7842"/>
    <w:rsid w:val="00BB043F"/>
    <w:rsid w:val="00BB04F8"/>
    <w:rsid w:val="00BB0804"/>
    <w:rsid w:val="00BB092D"/>
    <w:rsid w:val="00BB0A93"/>
    <w:rsid w:val="00BB0C25"/>
    <w:rsid w:val="00BB0DA8"/>
    <w:rsid w:val="00BB0EF1"/>
    <w:rsid w:val="00BB1097"/>
    <w:rsid w:val="00BB167A"/>
    <w:rsid w:val="00BB168C"/>
    <w:rsid w:val="00BB1A11"/>
    <w:rsid w:val="00BB1A1B"/>
    <w:rsid w:val="00BB207D"/>
    <w:rsid w:val="00BB277D"/>
    <w:rsid w:val="00BB2F3C"/>
    <w:rsid w:val="00BB30EA"/>
    <w:rsid w:val="00BB31DA"/>
    <w:rsid w:val="00BB33A3"/>
    <w:rsid w:val="00BB33DE"/>
    <w:rsid w:val="00BB36D5"/>
    <w:rsid w:val="00BB3ACA"/>
    <w:rsid w:val="00BB3CCE"/>
    <w:rsid w:val="00BB3D7E"/>
    <w:rsid w:val="00BB3F1F"/>
    <w:rsid w:val="00BB3F2E"/>
    <w:rsid w:val="00BB40A5"/>
    <w:rsid w:val="00BB40EC"/>
    <w:rsid w:val="00BB41EC"/>
    <w:rsid w:val="00BB4622"/>
    <w:rsid w:val="00BB4989"/>
    <w:rsid w:val="00BB4BE7"/>
    <w:rsid w:val="00BB4CE3"/>
    <w:rsid w:val="00BB4E21"/>
    <w:rsid w:val="00BB4FD6"/>
    <w:rsid w:val="00BB52EC"/>
    <w:rsid w:val="00BB5DB2"/>
    <w:rsid w:val="00BB63FC"/>
    <w:rsid w:val="00BB6789"/>
    <w:rsid w:val="00BB6D4B"/>
    <w:rsid w:val="00BB6E31"/>
    <w:rsid w:val="00BB7027"/>
    <w:rsid w:val="00BB7449"/>
    <w:rsid w:val="00BB754C"/>
    <w:rsid w:val="00BB7668"/>
    <w:rsid w:val="00BB7896"/>
    <w:rsid w:val="00BB7B56"/>
    <w:rsid w:val="00BB7CC5"/>
    <w:rsid w:val="00BC011F"/>
    <w:rsid w:val="00BC01CA"/>
    <w:rsid w:val="00BC06DC"/>
    <w:rsid w:val="00BC0E17"/>
    <w:rsid w:val="00BC0E9B"/>
    <w:rsid w:val="00BC12A1"/>
    <w:rsid w:val="00BC1418"/>
    <w:rsid w:val="00BC1802"/>
    <w:rsid w:val="00BC1E30"/>
    <w:rsid w:val="00BC25D8"/>
    <w:rsid w:val="00BC3073"/>
    <w:rsid w:val="00BC3AB3"/>
    <w:rsid w:val="00BC401B"/>
    <w:rsid w:val="00BC4354"/>
    <w:rsid w:val="00BC4790"/>
    <w:rsid w:val="00BC4856"/>
    <w:rsid w:val="00BC4B34"/>
    <w:rsid w:val="00BC4BB0"/>
    <w:rsid w:val="00BC4D6C"/>
    <w:rsid w:val="00BC4E72"/>
    <w:rsid w:val="00BC4F2D"/>
    <w:rsid w:val="00BC5197"/>
    <w:rsid w:val="00BC549A"/>
    <w:rsid w:val="00BC55D0"/>
    <w:rsid w:val="00BC58B5"/>
    <w:rsid w:val="00BC5969"/>
    <w:rsid w:val="00BC59FA"/>
    <w:rsid w:val="00BC6040"/>
    <w:rsid w:val="00BC6048"/>
    <w:rsid w:val="00BC63AE"/>
    <w:rsid w:val="00BC64AB"/>
    <w:rsid w:val="00BC67DE"/>
    <w:rsid w:val="00BC6873"/>
    <w:rsid w:val="00BC6E16"/>
    <w:rsid w:val="00BC6ED7"/>
    <w:rsid w:val="00BC709B"/>
    <w:rsid w:val="00BC72F4"/>
    <w:rsid w:val="00BC7474"/>
    <w:rsid w:val="00BC75F2"/>
    <w:rsid w:val="00BC776B"/>
    <w:rsid w:val="00BC7C72"/>
    <w:rsid w:val="00BD03C7"/>
    <w:rsid w:val="00BD03E7"/>
    <w:rsid w:val="00BD05AF"/>
    <w:rsid w:val="00BD086E"/>
    <w:rsid w:val="00BD089D"/>
    <w:rsid w:val="00BD097A"/>
    <w:rsid w:val="00BD0C95"/>
    <w:rsid w:val="00BD0C9A"/>
    <w:rsid w:val="00BD0FCA"/>
    <w:rsid w:val="00BD1164"/>
    <w:rsid w:val="00BD119E"/>
    <w:rsid w:val="00BD16A1"/>
    <w:rsid w:val="00BD1906"/>
    <w:rsid w:val="00BD1AE6"/>
    <w:rsid w:val="00BD1AF5"/>
    <w:rsid w:val="00BD1AFB"/>
    <w:rsid w:val="00BD1AFC"/>
    <w:rsid w:val="00BD1CB0"/>
    <w:rsid w:val="00BD2D62"/>
    <w:rsid w:val="00BD2FF3"/>
    <w:rsid w:val="00BD30C2"/>
    <w:rsid w:val="00BD37AB"/>
    <w:rsid w:val="00BD4372"/>
    <w:rsid w:val="00BD43A1"/>
    <w:rsid w:val="00BD4515"/>
    <w:rsid w:val="00BD4E57"/>
    <w:rsid w:val="00BD54B1"/>
    <w:rsid w:val="00BD54EA"/>
    <w:rsid w:val="00BD569C"/>
    <w:rsid w:val="00BD56DE"/>
    <w:rsid w:val="00BD578B"/>
    <w:rsid w:val="00BD57D7"/>
    <w:rsid w:val="00BD5976"/>
    <w:rsid w:val="00BD5AA1"/>
    <w:rsid w:val="00BD5AE1"/>
    <w:rsid w:val="00BD5BB7"/>
    <w:rsid w:val="00BD5F3B"/>
    <w:rsid w:val="00BD601C"/>
    <w:rsid w:val="00BD60E4"/>
    <w:rsid w:val="00BD62C7"/>
    <w:rsid w:val="00BD64D0"/>
    <w:rsid w:val="00BD66D4"/>
    <w:rsid w:val="00BD67E1"/>
    <w:rsid w:val="00BD6C0D"/>
    <w:rsid w:val="00BD6C46"/>
    <w:rsid w:val="00BD6D8C"/>
    <w:rsid w:val="00BD72BD"/>
    <w:rsid w:val="00BD76AE"/>
    <w:rsid w:val="00BE005B"/>
    <w:rsid w:val="00BE0560"/>
    <w:rsid w:val="00BE06B1"/>
    <w:rsid w:val="00BE0A62"/>
    <w:rsid w:val="00BE0BC4"/>
    <w:rsid w:val="00BE0CC4"/>
    <w:rsid w:val="00BE0D1D"/>
    <w:rsid w:val="00BE1051"/>
    <w:rsid w:val="00BE1224"/>
    <w:rsid w:val="00BE12E9"/>
    <w:rsid w:val="00BE15D4"/>
    <w:rsid w:val="00BE19B2"/>
    <w:rsid w:val="00BE1E72"/>
    <w:rsid w:val="00BE20A2"/>
    <w:rsid w:val="00BE2153"/>
    <w:rsid w:val="00BE21EC"/>
    <w:rsid w:val="00BE2333"/>
    <w:rsid w:val="00BE2403"/>
    <w:rsid w:val="00BE2420"/>
    <w:rsid w:val="00BE2829"/>
    <w:rsid w:val="00BE2C60"/>
    <w:rsid w:val="00BE2DE5"/>
    <w:rsid w:val="00BE3AAA"/>
    <w:rsid w:val="00BE3BD5"/>
    <w:rsid w:val="00BE3EF8"/>
    <w:rsid w:val="00BE3FDB"/>
    <w:rsid w:val="00BE40A1"/>
    <w:rsid w:val="00BE4292"/>
    <w:rsid w:val="00BE4488"/>
    <w:rsid w:val="00BE4C7F"/>
    <w:rsid w:val="00BE4D03"/>
    <w:rsid w:val="00BE4D2C"/>
    <w:rsid w:val="00BE513C"/>
    <w:rsid w:val="00BE5426"/>
    <w:rsid w:val="00BE5E62"/>
    <w:rsid w:val="00BE64FA"/>
    <w:rsid w:val="00BE666D"/>
    <w:rsid w:val="00BE6757"/>
    <w:rsid w:val="00BE675A"/>
    <w:rsid w:val="00BE678D"/>
    <w:rsid w:val="00BE682E"/>
    <w:rsid w:val="00BE6833"/>
    <w:rsid w:val="00BE6867"/>
    <w:rsid w:val="00BE68D6"/>
    <w:rsid w:val="00BE6B42"/>
    <w:rsid w:val="00BE6E80"/>
    <w:rsid w:val="00BE712B"/>
    <w:rsid w:val="00BE7314"/>
    <w:rsid w:val="00BE7754"/>
    <w:rsid w:val="00BE78EE"/>
    <w:rsid w:val="00BE7B72"/>
    <w:rsid w:val="00BE7CD6"/>
    <w:rsid w:val="00BE7E77"/>
    <w:rsid w:val="00BF0AFD"/>
    <w:rsid w:val="00BF0BE8"/>
    <w:rsid w:val="00BF0C24"/>
    <w:rsid w:val="00BF0FBB"/>
    <w:rsid w:val="00BF12FF"/>
    <w:rsid w:val="00BF193A"/>
    <w:rsid w:val="00BF1A9F"/>
    <w:rsid w:val="00BF1C6E"/>
    <w:rsid w:val="00BF1C9B"/>
    <w:rsid w:val="00BF25E8"/>
    <w:rsid w:val="00BF2628"/>
    <w:rsid w:val="00BF2916"/>
    <w:rsid w:val="00BF29FA"/>
    <w:rsid w:val="00BF2BD9"/>
    <w:rsid w:val="00BF3295"/>
    <w:rsid w:val="00BF339F"/>
    <w:rsid w:val="00BF3476"/>
    <w:rsid w:val="00BF3D13"/>
    <w:rsid w:val="00BF3FC4"/>
    <w:rsid w:val="00BF40C6"/>
    <w:rsid w:val="00BF4B0E"/>
    <w:rsid w:val="00BF51B1"/>
    <w:rsid w:val="00BF52A5"/>
    <w:rsid w:val="00BF58A5"/>
    <w:rsid w:val="00BF59CA"/>
    <w:rsid w:val="00BF5A72"/>
    <w:rsid w:val="00BF5A87"/>
    <w:rsid w:val="00BF5C79"/>
    <w:rsid w:val="00BF5CBF"/>
    <w:rsid w:val="00BF5E88"/>
    <w:rsid w:val="00BF5FAD"/>
    <w:rsid w:val="00BF60CB"/>
    <w:rsid w:val="00BF63F8"/>
    <w:rsid w:val="00BF6A14"/>
    <w:rsid w:val="00BF6B1A"/>
    <w:rsid w:val="00BF716D"/>
    <w:rsid w:val="00BF77A9"/>
    <w:rsid w:val="00BF77C1"/>
    <w:rsid w:val="00BF780C"/>
    <w:rsid w:val="00BF7821"/>
    <w:rsid w:val="00BF7891"/>
    <w:rsid w:val="00BF78AC"/>
    <w:rsid w:val="00C0038F"/>
    <w:rsid w:val="00C00B38"/>
    <w:rsid w:val="00C00C05"/>
    <w:rsid w:val="00C00EEF"/>
    <w:rsid w:val="00C0132E"/>
    <w:rsid w:val="00C01E92"/>
    <w:rsid w:val="00C01EB4"/>
    <w:rsid w:val="00C0233C"/>
    <w:rsid w:val="00C0278D"/>
    <w:rsid w:val="00C029AA"/>
    <w:rsid w:val="00C02BE7"/>
    <w:rsid w:val="00C02CF3"/>
    <w:rsid w:val="00C02DF8"/>
    <w:rsid w:val="00C02F63"/>
    <w:rsid w:val="00C032C9"/>
    <w:rsid w:val="00C0375A"/>
    <w:rsid w:val="00C0398A"/>
    <w:rsid w:val="00C03A96"/>
    <w:rsid w:val="00C03AB9"/>
    <w:rsid w:val="00C03E7E"/>
    <w:rsid w:val="00C040A3"/>
    <w:rsid w:val="00C04334"/>
    <w:rsid w:val="00C04665"/>
    <w:rsid w:val="00C0488A"/>
    <w:rsid w:val="00C04A7B"/>
    <w:rsid w:val="00C04DBA"/>
    <w:rsid w:val="00C04ECC"/>
    <w:rsid w:val="00C04F3F"/>
    <w:rsid w:val="00C04F7D"/>
    <w:rsid w:val="00C0528D"/>
    <w:rsid w:val="00C057D9"/>
    <w:rsid w:val="00C05BE6"/>
    <w:rsid w:val="00C05FBE"/>
    <w:rsid w:val="00C060D7"/>
    <w:rsid w:val="00C063B7"/>
    <w:rsid w:val="00C06607"/>
    <w:rsid w:val="00C06818"/>
    <w:rsid w:val="00C0691E"/>
    <w:rsid w:val="00C06B77"/>
    <w:rsid w:val="00C072CB"/>
    <w:rsid w:val="00C073FC"/>
    <w:rsid w:val="00C0748C"/>
    <w:rsid w:val="00C076F0"/>
    <w:rsid w:val="00C07A4F"/>
    <w:rsid w:val="00C10123"/>
    <w:rsid w:val="00C102B6"/>
    <w:rsid w:val="00C1049B"/>
    <w:rsid w:val="00C10600"/>
    <w:rsid w:val="00C106E1"/>
    <w:rsid w:val="00C1093E"/>
    <w:rsid w:val="00C10CB3"/>
    <w:rsid w:val="00C11497"/>
    <w:rsid w:val="00C11C3B"/>
    <w:rsid w:val="00C11E9B"/>
    <w:rsid w:val="00C120CF"/>
    <w:rsid w:val="00C12820"/>
    <w:rsid w:val="00C12A10"/>
    <w:rsid w:val="00C12A95"/>
    <w:rsid w:val="00C12BD5"/>
    <w:rsid w:val="00C12BDD"/>
    <w:rsid w:val="00C12D39"/>
    <w:rsid w:val="00C12DE2"/>
    <w:rsid w:val="00C12F1F"/>
    <w:rsid w:val="00C12F6A"/>
    <w:rsid w:val="00C13632"/>
    <w:rsid w:val="00C136A0"/>
    <w:rsid w:val="00C137BD"/>
    <w:rsid w:val="00C13A4C"/>
    <w:rsid w:val="00C1434B"/>
    <w:rsid w:val="00C14925"/>
    <w:rsid w:val="00C14AA9"/>
    <w:rsid w:val="00C14D9B"/>
    <w:rsid w:val="00C1501E"/>
    <w:rsid w:val="00C152B3"/>
    <w:rsid w:val="00C15341"/>
    <w:rsid w:val="00C15448"/>
    <w:rsid w:val="00C1546F"/>
    <w:rsid w:val="00C15B02"/>
    <w:rsid w:val="00C15DC9"/>
    <w:rsid w:val="00C160A7"/>
    <w:rsid w:val="00C16480"/>
    <w:rsid w:val="00C16960"/>
    <w:rsid w:val="00C16C7F"/>
    <w:rsid w:val="00C16EFD"/>
    <w:rsid w:val="00C16F79"/>
    <w:rsid w:val="00C16FCA"/>
    <w:rsid w:val="00C17195"/>
    <w:rsid w:val="00C17249"/>
    <w:rsid w:val="00C1795E"/>
    <w:rsid w:val="00C17A02"/>
    <w:rsid w:val="00C17A11"/>
    <w:rsid w:val="00C2028F"/>
    <w:rsid w:val="00C20878"/>
    <w:rsid w:val="00C20DED"/>
    <w:rsid w:val="00C20FDF"/>
    <w:rsid w:val="00C21110"/>
    <w:rsid w:val="00C213CE"/>
    <w:rsid w:val="00C2151D"/>
    <w:rsid w:val="00C215A2"/>
    <w:rsid w:val="00C22364"/>
    <w:rsid w:val="00C2236C"/>
    <w:rsid w:val="00C22526"/>
    <w:rsid w:val="00C22670"/>
    <w:rsid w:val="00C22D99"/>
    <w:rsid w:val="00C23111"/>
    <w:rsid w:val="00C23169"/>
    <w:rsid w:val="00C236B2"/>
    <w:rsid w:val="00C238C9"/>
    <w:rsid w:val="00C2395D"/>
    <w:rsid w:val="00C23A6D"/>
    <w:rsid w:val="00C23B2D"/>
    <w:rsid w:val="00C23B88"/>
    <w:rsid w:val="00C23D80"/>
    <w:rsid w:val="00C23FBB"/>
    <w:rsid w:val="00C24217"/>
    <w:rsid w:val="00C2430A"/>
    <w:rsid w:val="00C2480C"/>
    <w:rsid w:val="00C24B05"/>
    <w:rsid w:val="00C24C14"/>
    <w:rsid w:val="00C24DB4"/>
    <w:rsid w:val="00C24DC5"/>
    <w:rsid w:val="00C24EC2"/>
    <w:rsid w:val="00C24ED5"/>
    <w:rsid w:val="00C253A9"/>
    <w:rsid w:val="00C256BE"/>
    <w:rsid w:val="00C25742"/>
    <w:rsid w:val="00C257A3"/>
    <w:rsid w:val="00C25938"/>
    <w:rsid w:val="00C25973"/>
    <w:rsid w:val="00C25A2E"/>
    <w:rsid w:val="00C264E7"/>
    <w:rsid w:val="00C26573"/>
    <w:rsid w:val="00C26B6C"/>
    <w:rsid w:val="00C26E6B"/>
    <w:rsid w:val="00C26FC1"/>
    <w:rsid w:val="00C27079"/>
    <w:rsid w:val="00C27700"/>
    <w:rsid w:val="00C2777F"/>
    <w:rsid w:val="00C27AA7"/>
    <w:rsid w:val="00C27D23"/>
    <w:rsid w:val="00C300BD"/>
    <w:rsid w:val="00C3027B"/>
    <w:rsid w:val="00C3046A"/>
    <w:rsid w:val="00C30969"/>
    <w:rsid w:val="00C30B30"/>
    <w:rsid w:val="00C30B43"/>
    <w:rsid w:val="00C30B82"/>
    <w:rsid w:val="00C30B9D"/>
    <w:rsid w:val="00C30C11"/>
    <w:rsid w:val="00C30E6B"/>
    <w:rsid w:val="00C30F31"/>
    <w:rsid w:val="00C3138D"/>
    <w:rsid w:val="00C315FC"/>
    <w:rsid w:val="00C318FF"/>
    <w:rsid w:val="00C31C3B"/>
    <w:rsid w:val="00C31EFB"/>
    <w:rsid w:val="00C32019"/>
    <w:rsid w:val="00C325C0"/>
    <w:rsid w:val="00C3269C"/>
    <w:rsid w:val="00C32C9A"/>
    <w:rsid w:val="00C32CED"/>
    <w:rsid w:val="00C33129"/>
    <w:rsid w:val="00C333FA"/>
    <w:rsid w:val="00C3388D"/>
    <w:rsid w:val="00C33DB7"/>
    <w:rsid w:val="00C34349"/>
    <w:rsid w:val="00C344C6"/>
    <w:rsid w:val="00C34989"/>
    <w:rsid w:val="00C34D59"/>
    <w:rsid w:val="00C34F30"/>
    <w:rsid w:val="00C35038"/>
    <w:rsid w:val="00C3504C"/>
    <w:rsid w:val="00C35568"/>
    <w:rsid w:val="00C35947"/>
    <w:rsid w:val="00C35BC2"/>
    <w:rsid w:val="00C35ED1"/>
    <w:rsid w:val="00C36010"/>
    <w:rsid w:val="00C3613F"/>
    <w:rsid w:val="00C3625D"/>
    <w:rsid w:val="00C362CD"/>
    <w:rsid w:val="00C36D94"/>
    <w:rsid w:val="00C36DDE"/>
    <w:rsid w:val="00C3713E"/>
    <w:rsid w:val="00C3714B"/>
    <w:rsid w:val="00C37CF4"/>
    <w:rsid w:val="00C40130"/>
    <w:rsid w:val="00C405ED"/>
    <w:rsid w:val="00C40ADB"/>
    <w:rsid w:val="00C410C3"/>
    <w:rsid w:val="00C41377"/>
    <w:rsid w:val="00C416C3"/>
    <w:rsid w:val="00C417E3"/>
    <w:rsid w:val="00C417F0"/>
    <w:rsid w:val="00C41888"/>
    <w:rsid w:val="00C418CF"/>
    <w:rsid w:val="00C41B00"/>
    <w:rsid w:val="00C41D22"/>
    <w:rsid w:val="00C4293F"/>
    <w:rsid w:val="00C42B99"/>
    <w:rsid w:val="00C43009"/>
    <w:rsid w:val="00C431C6"/>
    <w:rsid w:val="00C43516"/>
    <w:rsid w:val="00C437A5"/>
    <w:rsid w:val="00C439AB"/>
    <w:rsid w:val="00C44195"/>
    <w:rsid w:val="00C44BE6"/>
    <w:rsid w:val="00C45022"/>
    <w:rsid w:val="00C4526D"/>
    <w:rsid w:val="00C461BE"/>
    <w:rsid w:val="00C4665B"/>
    <w:rsid w:val="00C46824"/>
    <w:rsid w:val="00C46A38"/>
    <w:rsid w:val="00C46C4C"/>
    <w:rsid w:val="00C46F1C"/>
    <w:rsid w:val="00C474FE"/>
    <w:rsid w:val="00C4759D"/>
    <w:rsid w:val="00C475CD"/>
    <w:rsid w:val="00C4781B"/>
    <w:rsid w:val="00C4784E"/>
    <w:rsid w:val="00C47BBD"/>
    <w:rsid w:val="00C47F6C"/>
    <w:rsid w:val="00C47FC8"/>
    <w:rsid w:val="00C50489"/>
    <w:rsid w:val="00C50B02"/>
    <w:rsid w:val="00C50B26"/>
    <w:rsid w:val="00C50C6A"/>
    <w:rsid w:val="00C50CEA"/>
    <w:rsid w:val="00C50DE7"/>
    <w:rsid w:val="00C50E3E"/>
    <w:rsid w:val="00C51465"/>
    <w:rsid w:val="00C51831"/>
    <w:rsid w:val="00C518CD"/>
    <w:rsid w:val="00C51D00"/>
    <w:rsid w:val="00C521E4"/>
    <w:rsid w:val="00C52434"/>
    <w:rsid w:val="00C52760"/>
    <w:rsid w:val="00C528B5"/>
    <w:rsid w:val="00C536A2"/>
    <w:rsid w:val="00C53A00"/>
    <w:rsid w:val="00C53DDE"/>
    <w:rsid w:val="00C53FF6"/>
    <w:rsid w:val="00C540F1"/>
    <w:rsid w:val="00C541D4"/>
    <w:rsid w:val="00C544FD"/>
    <w:rsid w:val="00C545D2"/>
    <w:rsid w:val="00C54E9D"/>
    <w:rsid w:val="00C553FB"/>
    <w:rsid w:val="00C554AD"/>
    <w:rsid w:val="00C557B5"/>
    <w:rsid w:val="00C55AFA"/>
    <w:rsid w:val="00C55B42"/>
    <w:rsid w:val="00C55E75"/>
    <w:rsid w:val="00C5682C"/>
    <w:rsid w:val="00C568CC"/>
    <w:rsid w:val="00C56CA4"/>
    <w:rsid w:val="00C57B16"/>
    <w:rsid w:val="00C57B73"/>
    <w:rsid w:val="00C57EED"/>
    <w:rsid w:val="00C601D0"/>
    <w:rsid w:val="00C60CB7"/>
    <w:rsid w:val="00C61425"/>
    <w:rsid w:val="00C61547"/>
    <w:rsid w:val="00C61BF4"/>
    <w:rsid w:val="00C6222E"/>
    <w:rsid w:val="00C62324"/>
    <w:rsid w:val="00C623D7"/>
    <w:rsid w:val="00C62485"/>
    <w:rsid w:val="00C625F4"/>
    <w:rsid w:val="00C62A9C"/>
    <w:rsid w:val="00C63018"/>
    <w:rsid w:val="00C632E1"/>
    <w:rsid w:val="00C634A4"/>
    <w:rsid w:val="00C6382E"/>
    <w:rsid w:val="00C63902"/>
    <w:rsid w:val="00C640F4"/>
    <w:rsid w:val="00C6410A"/>
    <w:rsid w:val="00C645D1"/>
    <w:rsid w:val="00C6480D"/>
    <w:rsid w:val="00C64C30"/>
    <w:rsid w:val="00C64CC1"/>
    <w:rsid w:val="00C651E4"/>
    <w:rsid w:val="00C651F6"/>
    <w:rsid w:val="00C65593"/>
    <w:rsid w:val="00C65666"/>
    <w:rsid w:val="00C664AB"/>
    <w:rsid w:val="00C66893"/>
    <w:rsid w:val="00C668BE"/>
    <w:rsid w:val="00C66B46"/>
    <w:rsid w:val="00C67088"/>
    <w:rsid w:val="00C670FF"/>
    <w:rsid w:val="00C67596"/>
    <w:rsid w:val="00C67660"/>
    <w:rsid w:val="00C6798D"/>
    <w:rsid w:val="00C679F4"/>
    <w:rsid w:val="00C67AD8"/>
    <w:rsid w:val="00C67BDC"/>
    <w:rsid w:val="00C70187"/>
    <w:rsid w:val="00C703A9"/>
    <w:rsid w:val="00C70983"/>
    <w:rsid w:val="00C70D6A"/>
    <w:rsid w:val="00C70E01"/>
    <w:rsid w:val="00C713E8"/>
    <w:rsid w:val="00C71596"/>
    <w:rsid w:val="00C71694"/>
    <w:rsid w:val="00C71E7A"/>
    <w:rsid w:val="00C71EA4"/>
    <w:rsid w:val="00C7208C"/>
    <w:rsid w:val="00C72603"/>
    <w:rsid w:val="00C731D6"/>
    <w:rsid w:val="00C7375D"/>
    <w:rsid w:val="00C737EB"/>
    <w:rsid w:val="00C73BCE"/>
    <w:rsid w:val="00C74584"/>
    <w:rsid w:val="00C74796"/>
    <w:rsid w:val="00C747CC"/>
    <w:rsid w:val="00C74909"/>
    <w:rsid w:val="00C74A5E"/>
    <w:rsid w:val="00C74BEB"/>
    <w:rsid w:val="00C753A3"/>
    <w:rsid w:val="00C75541"/>
    <w:rsid w:val="00C758E7"/>
    <w:rsid w:val="00C75A21"/>
    <w:rsid w:val="00C75ABC"/>
    <w:rsid w:val="00C75CBF"/>
    <w:rsid w:val="00C7600E"/>
    <w:rsid w:val="00C764BF"/>
    <w:rsid w:val="00C7656C"/>
    <w:rsid w:val="00C765CA"/>
    <w:rsid w:val="00C76ADF"/>
    <w:rsid w:val="00C76D72"/>
    <w:rsid w:val="00C76E83"/>
    <w:rsid w:val="00C77143"/>
    <w:rsid w:val="00C77193"/>
    <w:rsid w:val="00C773B0"/>
    <w:rsid w:val="00C77A52"/>
    <w:rsid w:val="00C77C53"/>
    <w:rsid w:val="00C77F3C"/>
    <w:rsid w:val="00C80418"/>
    <w:rsid w:val="00C80428"/>
    <w:rsid w:val="00C8086D"/>
    <w:rsid w:val="00C8091A"/>
    <w:rsid w:val="00C80A46"/>
    <w:rsid w:val="00C80A5C"/>
    <w:rsid w:val="00C80CF1"/>
    <w:rsid w:val="00C811AD"/>
    <w:rsid w:val="00C81205"/>
    <w:rsid w:val="00C81422"/>
    <w:rsid w:val="00C81459"/>
    <w:rsid w:val="00C81AA3"/>
    <w:rsid w:val="00C81C1E"/>
    <w:rsid w:val="00C81DCF"/>
    <w:rsid w:val="00C81EF1"/>
    <w:rsid w:val="00C8228E"/>
    <w:rsid w:val="00C823DD"/>
    <w:rsid w:val="00C824B0"/>
    <w:rsid w:val="00C8283D"/>
    <w:rsid w:val="00C828B3"/>
    <w:rsid w:val="00C82A4F"/>
    <w:rsid w:val="00C82B63"/>
    <w:rsid w:val="00C82C98"/>
    <w:rsid w:val="00C82FDE"/>
    <w:rsid w:val="00C837C1"/>
    <w:rsid w:val="00C83C51"/>
    <w:rsid w:val="00C83DB8"/>
    <w:rsid w:val="00C83EC0"/>
    <w:rsid w:val="00C8414F"/>
    <w:rsid w:val="00C84950"/>
    <w:rsid w:val="00C84A17"/>
    <w:rsid w:val="00C84AD9"/>
    <w:rsid w:val="00C84BBE"/>
    <w:rsid w:val="00C84BC8"/>
    <w:rsid w:val="00C8500A"/>
    <w:rsid w:val="00C8515C"/>
    <w:rsid w:val="00C852C9"/>
    <w:rsid w:val="00C857E6"/>
    <w:rsid w:val="00C8582A"/>
    <w:rsid w:val="00C85998"/>
    <w:rsid w:val="00C85B02"/>
    <w:rsid w:val="00C85DD1"/>
    <w:rsid w:val="00C862B4"/>
    <w:rsid w:val="00C86991"/>
    <w:rsid w:val="00C86EAB"/>
    <w:rsid w:val="00C86F93"/>
    <w:rsid w:val="00C86FFA"/>
    <w:rsid w:val="00C8718C"/>
    <w:rsid w:val="00C8761C"/>
    <w:rsid w:val="00C8779B"/>
    <w:rsid w:val="00C8784B"/>
    <w:rsid w:val="00C8784D"/>
    <w:rsid w:val="00C87E5F"/>
    <w:rsid w:val="00C87E8F"/>
    <w:rsid w:val="00C87E91"/>
    <w:rsid w:val="00C901BB"/>
    <w:rsid w:val="00C903A4"/>
    <w:rsid w:val="00C906A3"/>
    <w:rsid w:val="00C908F2"/>
    <w:rsid w:val="00C90A3C"/>
    <w:rsid w:val="00C90B1B"/>
    <w:rsid w:val="00C90C32"/>
    <w:rsid w:val="00C90F2D"/>
    <w:rsid w:val="00C90F55"/>
    <w:rsid w:val="00C91710"/>
    <w:rsid w:val="00C91855"/>
    <w:rsid w:val="00C91CFB"/>
    <w:rsid w:val="00C91D2F"/>
    <w:rsid w:val="00C91D71"/>
    <w:rsid w:val="00C9224C"/>
    <w:rsid w:val="00C92300"/>
    <w:rsid w:val="00C92937"/>
    <w:rsid w:val="00C92974"/>
    <w:rsid w:val="00C92AF2"/>
    <w:rsid w:val="00C92B82"/>
    <w:rsid w:val="00C92BBE"/>
    <w:rsid w:val="00C92EDF"/>
    <w:rsid w:val="00C92F43"/>
    <w:rsid w:val="00C930A2"/>
    <w:rsid w:val="00C9313E"/>
    <w:rsid w:val="00C93398"/>
    <w:rsid w:val="00C9355D"/>
    <w:rsid w:val="00C9361A"/>
    <w:rsid w:val="00C9389A"/>
    <w:rsid w:val="00C938BD"/>
    <w:rsid w:val="00C93AE6"/>
    <w:rsid w:val="00C942E5"/>
    <w:rsid w:val="00C9440C"/>
    <w:rsid w:val="00C94432"/>
    <w:rsid w:val="00C94AB7"/>
    <w:rsid w:val="00C94E9B"/>
    <w:rsid w:val="00C94ECB"/>
    <w:rsid w:val="00C95324"/>
    <w:rsid w:val="00C95747"/>
    <w:rsid w:val="00C95A41"/>
    <w:rsid w:val="00C95C26"/>
    <w:rsid w:val="00C95E8D"/>
    <w:rsid w:val="00C96097"/>
    <w:rsid w:val="00C96529"/>
    <w:rsid w:val="00C9695A"/>
    <w:rsid w:val="00C96CF4"/>
    <w:rsid w:val="00C96EC6"/>
    <w:rsid w:val="00C97114"/>
    <w:rsid w:val="00C9718A"/>
    <w:rsid w:val="00C97363"/>
    <w:rsid w:val="00C9741A"/>
    <w:rsid w:val="00C977B4"/>
    <w:rsid w:val="00C97985"/>
    <w:rsid w:val="00CA0840"/>
    <w:rsid w:val="00CA0AFD"/>
    <w:rsid w:val="00CA0B33"/>
    <w:rsid w:val="00CA0BD7"/>
    <w:rsid w:val="00CA0CF2"/>
    <w:rsid w:val="00CA0D09"/>
    <w:rsid w:val="00CA1234"/>
    <w:rsid w:val="00CA1255"/>
    <w:rsid w:val="00CA1666"/>
    <w:rsid w:val="00CA16AE"/>
    <w:rsid w:val="00CA1B15"/>
    <w:rsid w:val="00CA1DBE"/>
    <w:rsid w:val="00CA1EAF"/>
    <w:rsid w:val="00CA20D6"/>
    <w:rsid w:val="00CA239E"/>
    <w:rsid w:val="00CA2461"/>
    <w:rsid w:val="00CA2591"/>
    <w:rsid w:val="00CA2ED4"/>
    <w:rsid w:val="00CA2F07"/>
    <w:rsid w:val="00CA3027"/>
    <w:rsid w:val="00CA3358"/>
    <w:rsid w:val="00CA33EF"/>
    <w:rsid w:val="00CA36D2"/>
    <w:rsid w:val="00CA3A2E"/>
    <w:rsid w:val="00CA3A46"/>
    <w:rsid w:val="00CA3CE2"/>
    <w:rsid w:val="00CA4001"/>
    <w:rsid w:val="00CA4596"/>
    <w:rsid w:val="00CA48BD"/>
    <w:rsid w:val="00CA4BB2"/>
    <w:rsid w:val="00CA4BED"/>
    <w:rsid w:val="00CA4C8B"/>
    <w:rsid w:val="00CA4E11"/>
    <w:rsid w:val="00CA4FEA"/>
    <w:rsid w:val="00CA511D"/>
    <w:rsid w:val="00CA572A"/>
    <w:rsid w:val="00CA5B1A"/>
    <w:rsid w:val="00CA6245"/>
    <w:rsid w:val="00CA652B"/>
    <w:rsid w:val="00CA6726"/>
    <w:rsid w:val="00CA680D"/>
    <w:rsid w:val="00CA69B5"/>
    <w:rsid w:val="00CA6BC4"/>
    <w:rsid w:val="00CA6BD3"/>
    <w:rsid w:val="00CA6D21"/>
    <w:rsid w:val="00CA6F68"/>
    <w:rsid w:val="00CA744A"/>
    <w:rsid w:val="00CA74B3"/>
    <w:rsid w:val="00CA79EB"/>
    <w:rsid w:val="00CA7D73"/>
    <w:rsid w:val="00CB0439"/>
    <w:rsid w:val="00CB0748"/>
    <w:rsid w:val="00CB0857"/>
    <w:rsid w:val="00CB0878"/>
    <w:rsid w:val="00CB0A62"/>
    <w:rsid w:val="00CB0B9B"/>
    <w:rsid w:val="00CB10D3"/>
    <w:rsid w:val="00CB1490"/>
    <w:rsid w:val="00CB14C6"/>
    <w:rsid w:val="00CB14D0"/>
    <w:rsid w:val="00CB15B3"/>
    <w:rsid w:val="00CB15EC"/>
    <w:rsid w:val="00CB17D1"/>
    <w:rsid w:val="00CB17D5"/>
    <w:rsid w:val="00CB196C"/>
    <w:rsid w:val="00CB19A2"/>
    <w:rsid w:val="00CB19CE"/>
    <w:rsid w:val="00CB1A27"/>
    <w:rsid w:val="00CB1E10"/>
    <w:rsid w:val="00CB20DE"/>
    <w:rsid w:val="00CB29AC"/>
    <w:rsid w:val="00CB2D2B"/>
    <w:rsid w:val="00CB3072"/>
    <w:rsid w:val="00CB315F"/>
    <w:rsid w:val="00CB32AE"/>
    <w:rsid w:val="00CB3E45"/>
    <w:rsid w:val="00CB3EC8"/>
    <w:rsid w:val="00CB40F5"/>
    <w:rsid w:val="00CB44A5"/>
    <w:rsid w:val="00CB489C"/>
    <w:rsid w:val="00CB4C81"/>
    <w:rsid w:val="00CB5789"/>
    <w:rsid w:val="00CB5A69"/>
    <w:rsid w:val="00CB5D23"/>
    <w:rsid w:val="00CB5F3A"/>
    <w:rsid w:val="00CB6667"/>
    <w:rsid w:val="00CB6798"/>
    <w:rsid w:val="00CB6985"/>
    <w:rsid w:val="00CB6E79"/>
    <w:rsid w:val="00CB70FC"/>
    <w:rsid w:val="00CB7469"/>
    <w:rsid w:val="00CB7608"/>
    <w:rsid w:val="00CB76AA"/>
    <w:rsid w:val="00CB7883"/>
    <w:rsid w:val="00CC0104"/>
    <w:rsid w:val="00CC018B"/>
    <w:rsid w:val="00CC053F"/>
    <w:rsid w:val="00CC0973"/>
    <w:rsid w:val="00CC118A"/>
    <w:rsid w:val="00CC13F2"/>
    <w:rsid w:val="00CC183D"/>
    <w:rsid w:val="00CC1C9A"/>
    <w:rsid w:val="00CC2103"/>
    <w:rsid w:val="00CC2822"/>
    <w:rsid w:val="00CC2884"/>
    <w:rsid w:val="00CC3072"/>
    <w:rsid w:val="00CC314F"/>
    <w:rsid w:val="00CC324F"/>
    <w:rsid w:val="00CC35D0"/>
    <w:rsid w:val="00CC38E7"/>
    <w:rsid w:val="00CC3990"/>
    <w:rsid w:val="00CC3EBE"/>
    <w:rsid w:val="00CC42FA"/>
    <w:rsid w:val="00CC4461"/>
    <w:rsid w:val="00CC44A6"/>
    <w:rsid w:val="00CC44FD"/>
    <w:rsid w:val="00CC49B6"/>
    <w:rsid w:val="00CC4A9E"/>
    <w:rsid w:val="00CC4C80"/>
    <w:rsid w:val="00CC4C99"/>
    <w:rsid w:val="00CC4D73"/>
    <w:rsid w:val="00CC4F04"/>
    <w:rsid w:val="00CC57F6"/>
    <w:rsid w:val="00CC5871"/>
    <w:rsid w:val="00CC5931"/>
    <w:rsid w:val="00CC59F3"/>
    <w:rsid w:val="00CC5BC7"/>
    <w:rsid w:val="00CC5F6E"/>
    <w:rsid w:val="00CC6004"/>
    <w:rsid w:val="00CC6081"/>
    <w:rsid w:val="00CC6214"/>
    <w:rsid w:val="00CC62CE"/>
    <w:rsid w:val="00CC65D8"/>
    <w:rsid w:val="00CC65DA"/>
    <w:rsid w:val="00CC664F"/>
    <w:rsid w:val="00CC68EC"/>
    <w:rsid w:val="00CC6AC0"/>
    <w:rsid w:val="00CC6B47"/>
    <w:rsid w:val="00CC70F1"/>
    <w:rsid w:val="00CC7268"/>
    <w:rsid w:val="00CC76E8"/>
    <w:rsid w:val="00CC7969"/>
    <w:rsid w:val="00CC79A6"/>
    <w:rsid w:val="00CC7A84"/>
    <w:rsid w:val="00CC7BDC"/>
    <w:rsid w:val="00CC7C60"/>
    <w:rsid w:val="00CD00A0"/>
    <w:rsid w:val="00CD00C1"/>
    <w:rsid w:val="00CD010B"/>
    <w:rsid w:val="00CD0246"/>
    <w:rsid w:val="00CD033B"/>
    <w:rsid w:val="00CD0CBE"/>
    <w:rsid w:val="00CD0EE3"/>
    <w:rsid w:val="00CD0FB9"/>
    <w:rsid w:val="00CD1101"/>
    <w:rsid w:val="00CD17BE"/>
    <w:rsid w:val="00CD1871"/>
    <w:rsid w:val="00CD1AC1"/>
    <w:rsid w:val="00CD1E7E"/>
    <w:rsid w:val="00CD1F34"/>
    <w:rsid w:val="00CD2233"/>
    <w:rsid w:val="00CD2472"/>
    <w:rsid w:val="00CD24B2"/>
    <w:rsid w:val="00CD2548"/>
    <w:rsid w:val="00CD26BC"/>
    <w:rsid w:val="00CD2BA1"/>
    <w:rsid w:val="00CD2D96"/>
    <w:rsid w:val="00CD33E5"/>
    <w:rsid w:val="00CD345F"/>
    <w:rsid w:val="00CD3575"/>
    <w:rsid w:val="00CD3647"/>
    <w:rsid w:val="00CD36A5"/>
    <w:rsid w:val="00CD377E"/>
    <w:rsid w:val="00CD3836"/>
    <w:rsid w:val="00CD3838"/>
    <w:rsid w:val="00CD4420"/>
    <w:rsid w:val="00CD44A5"/>
    <w:rsid w:val="00CD459D"/>
    <w:rsid w:val="00CD4857"/>
    <w:rsid w:val="00CD48D6"/>
    <w:rsid w:val="00CD4A08"/>
    <w:rsid w:val="00CD4DA2"/>
    <w:rsid w:val="00CD4E82"/>
    <w:rsid w:val="00CD4FA3"/>
    <w:rsid w:val="00CD558A"/>
    <w:rsid w:val="00CD57F0"/>
    <w:rsid w:val="00CD59A4"/>
    <w:rsid w:val="00CD5AFB"/>
    <w:rsid w:val="00CD5C4A"/>
    <w:rsid w:val="00CD635A"/>
    <w:rsid w:val="00CD6CF2"/>
    <w:rsid w:val="00CD6EFC"/>
    <w:rsid w:val="00CD770C"/>
    <w:rsid w:val="00CD79D5"/>
    <w:rsid w:val="00CD7E95"/>
    <w:rsid w:val="00CE0198"/>
    <w:rsid w:val="00CE0507"/>
    <w:rsid w:val="00CE07B5"/>
    <w:rsid w:val="00CE09C1"/>
    <w:rsid w:val="00CE0C6F"/>
    <w:rsid w:val="00CE10D3"/>
    <w:rsid w:val="00CE1201"/>
    <w:rsid w:val="00CE121A"/>
    <w:rsid w:val="00CE12A0"/>
    <w:rsid w:val="00CE1342"/>
    <w:rsid w:val="00CE13D3"/>
    <w:rsid w:val="00CE1715"/>
    <w:rsid w:val="00CE1860"/>
    <w:rsid w:val="00CE192D"/>
    <w:rsid w:val="00CE1C1E"/>
    <w:rsid w:val="00CE1E48"/>
    <w:rsid w:val="00CE227C"/>
    <w:rsid w:val="00CE22EA"/>
    <w:rsid w:val="00CE25B3"/>
    <w:rsid w:val="00CE2AEF"/>
    <w:rsid w:val="00CE2BCE"/>
    <w:rsid w:val="00CE2C9B"/>
    <w:rsid w:val="00CE3362"/>
    <w:rsid w:val="00CE3B95"/>
    <w:rsid w:val="00CE3C5E"/>
    <w:rsid w:val="00CE42EC"/>
    <w:rsid w:val="00CE45BC"/>
    <w:rsid w:val="00CE4634"/>
    <w:rsid w:val="00CE4755"/>
    <w:rsid w:val="00CE47E6"/>
    <w:rsid w:val="00CE49B6"/>
    <w:rsid w:val="00CE4A8A"/>
    <w:rsid w:val="00CE4AB7"/>
    <w:rsid w:val="00CE4CD0"/>
    <w:rsid w:val="00CE540E"/>
    <w:rsid w:val="00CE5A5F"/>
    <w:rsid w:val="00CE6439"/>
    <w:rsid w:val="00CE670A"/>
    <w:rsid w:val="00CE671A"/>
    <w:rsid w:val="00CE673E"/>
    <w:rsid w:val="00CE696C"/>
    <w:rsid w:val="00CE6A55"/>
    <w:rsid w:val="00CE7306"/>
    <w:rsid w:val="00CE7440"/>
    <w:rsid w:val="00CE7755"/>
    <w:rsid w:val="00CE796E"/>
    <w:rsid w:val="00CE7BA2"/>
    <w:rsid w:val="00CF034E"/>
    <w:rsid w:val="00CF037F"/>
    <w:rsid w:val="00CF0445"/>
    <w:rsid w:val="00CF0605"/>
    <w:rsid w:val="00CF0A19"/>
    <w:rsid w:val="00CF0DCE"/>
    <w:rsid w:val="00CF0E4E"/>
    <w:rsid w:val="00CF0EE4"/>
    <w:rsid w:val="00CF1676"/>
    <w:rsid w:val="00CF17DA"/>
    <w:rsid w:val="00CF1851"/>
    <w:rsid w:val="00CF1AAC"/>
    <w:rsid w:val="00CF1BE4"/>
    <w:rsid w:val="00CF1C97"/>
    <w:rsid w:val="00CF1E4C"/>
    <w:rsid w:val="00CF21D0"/>
    <w:rsid w:val="00CF2257"/>
    <w:rsid w:val="00CF2494"/>
    <w:rsid w:val="00CF308A"/>
    <w:rsid w:val="00CF31CB"/>
    <w:rsid w:val="00CF32E4"/>
    <w:rsid w:val="00CF32F6"/>
    <w:rsid w:val="00CF3367"/>
    <w:rsid w:val="00CF37D1"/>
    <w:rsid w:val="00CF39F6"/>
    <w:rsid w:val="00CF3F92"/>
    <w:rsid w:val="00CF4306"/>
    <w:rsid w:val="00CF4311"/>
    <w:rsid w:val="00CF4486"/>
    <w:rsid w:val="00CF52CB"/>
    <w:rsid w:val="00CF5311"/>
    <w:rsid w:val="00CF57FB"/>
    <w:rsid w:val="00CF6728"/>
    <w:rsid w:val="00CF7114"/>
    <w:rsid w:val="00CF7767"/>
    <w:rsid w:val="00CF78EC"/>
    <w:rsid w:val="00CF7992"/>
    <w:rsid w:val="00CF79F4"/>
    <w:rsid w:val="00CF7A60"/>
    <w:rsid w:val="00CF7F8E"/>
    <w:rsid w:val="00D003CA"/>
    <w:rsid w:val="00D0065F"/>
    <w:rsid w:val="00D00668"/>
    <w:rsid w:val="00D00887"/>
    <w:rsid w:val="00D00953"/>
    <w:rsid w:val="00D00ABE"/>
    <w:rsid w:val="00D00D38"/>
    <w:rsid w:val="00D00DE4"/>
    <w:rsid w:val="00D00ED1"/>
    <w:rsid w:val="00D01579"/>
    <w:rsid w:val="00D0169F"/>
    <w:rsid w:val="00D016C7"/>
    <w:rsid w:val="00D016D3"/>
    <w:rsid w:val="00D0170F"/>
    <w:rsid w:val="00D0173B"/>
    <w:rsid w:val="00D018FA"/>
    <w:rsid w:val="00D01B9A"/>
    <w:rsid w:val="00D01D95"/>
    <w:rsid w:val="00D01FBB"/>
    <w:rsid w:val="00D01FD8"/>
    <w:rsid w:val="00D02682"/>
    <w:rsid w:val="00D0298C"/>
    <w:rsid w:val="00D02ABF"/>
    <w:rsid w:val="00D02D90"/>
    <w:rsid w:val="00D02E2C"/>
    <w:rsid w:val="00D030BD"/>
    <w:rsid w:val="00D0331C"/>
    <w:rsid w:val="00D03383"/>
    <w:rsid w:val="00D03603"/>
    <w:rsid w:val="00D03856"/>
    <w:rsid w:val="00D038D1"/>
    <w:rsid w:val="00D03AC2"/>
    <w:rsid w:val="00D04363"/>
    <w:rsid w:val="00D04759"/>
    <w:rsid w:val="00D04763"/>
    <w:rsid w:val="00D04BB5"/>
    <w:rsid w:val="00D04D21"/>
    <w:rsid w:val="00D04FD5"/>
    <w:rsid w:val="00D051F4"/>
    <w:rsid w:val="00D0532E"/>
    <w:rsid w:val="00D053F5"/>
    <w:rsid w:val="00D059DB"/>
    <w:rsid w:val="00D05C71"/>
    <w:rsid w:val="00D0614A"/>
    <w:rsid w:val="00D062BB"/>
    <w:rsid w:val="00D06598"/>
    <w:rsid w:val="00D06B42"/>
    <w:rsid w:val="00D06FE2"/>
    <w:rsid w:val="00D06FF6"/>
    <w:rsid w:val="00D06FFB"/>
    <w:rsid w:val="00D072D6"/>
    <w:rsid w:val="00D074F9"/>
    <w:rsid w:val="00D07654"/>
    <w:rsid w:val="00D078B8"/>
    <w:rsid w:val="00D07B5C"/>
    <w:rsid w:val="00D07E7A"/>
    <w:rsid w:val="00D1008C"/>
    <w:rsid w:val="00D1016C"/>
    <w:rsid w:val="00D102DD"/>
    <w:rsid w:val="00D105E3"/>
    <w:rsid w:val="00D10885"/>
    <w:rsid w:val="00D108CA"/>
    <w:rsid w:val="00D10BE9"/>
    <w:rsid w:val="00D10FD2"/>
    <w:rsid w:val="00D11052"/>
    <w:rsid w:val="00D113BE"/>
    <w:rsid w:val="00D1141E"/>
    <w:rsid w:val="00D11ECD"/>
    <w:rsid w:val="00D11F35"/>
    <w:rsid w:val="00D12018"/>
    <w:rsid w:val="00D125A3"/>
    <w:rsid w:val="00D12E45"/>
    <w:rsid w:val="00D13073"/>
    <w:rsid w:val="00D13299"/>
    <w:rsid w:val="00D13542"/>
    <w:rsid w:val="00D135D1"/>
    <w:rsid w:val="00D136CA"/>
    <w:rsid w:val="00D138AF"/>
    <w:rsid w:val="00D13BF9"/>
    <w:rsid w:val="00D13C30"/>
    <w:rsid w:val="00D13CB0"/>
    <w:rsid w:val="00D13D9B"/>
    <w:rsid w:val="00D13FD5"/>
    <w:rsid w:val="00D1433A"/>
    <w:rsid w:val="00D14449"/>
    <w:rsid w:val="00D1448E"/>
    <w:rsid w:val="00D148F5"/>
    <w:rsid w:val="00D14961"/>
    <w:rsid w:val="00D14A8B"/>
    <w:rsid w:val="00D14DF1"/>
    <w:rsid w:val="00D15064"/>
    <w:rsid w:val="00D1535E"/>
    <w:rsid w:val="00D153E9"/>
    <w:rsid w:val="00D15DFF"/>
    <w:rsid w:val="00D160AD"/>
    <w:rsid w:val="00D160B8"/>
    <w:rsid w:val="00D1656D"/>
    <w:rsid w:val="00D16763"/>
    <w:rsid w:val="00D16818"/>
    <w:rsid w:val="00D1685E"/>
    <w:rsid w:val="00D16DE2"/>
    <w:rsid w:val="00D16E3D"/>
    <w:rsid w:val="00D16E46"/>
    <w:rsid w:val="00D17069"/>
    <w:rsid w:val="00D1777C"/>
    <w:rsid w:val="00D17798"/>
    <w:rsid w:val="00D17A29"/>
    <w:rsid w:val="00D17B64"/>
    <w:rsid w:val="00D17C03"/>
    <w:rsid w:val="00D17C9C"/>
    <w:rsid w:val="00D17E08"/>
    <w:rsid w:val="00D17FAB"/>
    <w:rsid w:val="00D20AC5"/>
    <w:rsid w:val="00D20BC9"/>
    <w:rsid w:val="00D20C24"/>
    <w:rsid w:val="00D20CEE"/>
    <w:rsid w:val="00D21203"/>
    <w:rsid w:val="00D212DE"/>
    <w:rsid w:val="00D218EB"/>
    <w:rsid w:val="00D2251F"/>
    <w:rsid w:val="00D22BD0"/>
    <w:rsid w:val="00D22BE2"/>
    <w:rsid w:val="00D23811"/>
    <w:rsid w:val="00D23DD5"/>
    <w:rsid w:val="00D246C2"/>
    <w:rsid w:val="00D2483E"/>
    <w:rsid w:val="00D24A51"/>
    <w:rsid w:val="00D24A7F"/>
    <w:rsid w:val="00D24B64"/>
    <w:rsid w:val="00D24C20"/>
    <w:rsid w:val="00D24EF2"/>
    <w:rsid w:val="00D24EFC"/>
    <w:rsid w:val="00D24F80"/>
    <w:rsid w:val="00D24FFB"/>
    <w:rsid w:val="00D253A9"/>
    <w:rsid w:val="00D25474"/>
    <w:rsid w:val="00D254A7"/>
    <w:rsid w:val="00D25709"/>
    <w:rsid w:val="00D25AD9"/>
    <w:rsid w:val="00D25BE3"/>
    <w:rsid w:val="00D26346"/>
    <w:rsid w:val="00D26363"/>
    <w:rsid w:val="00D265F6"/>
    <w:rsid w:val="00D266EE"/>
    <w:rsid w:val="00D2692A"/>
    <w:rsid w:val="00D26E35"/>
    <w:rsid w:val="00D27078"/>
    <w:rsid w:val="00D270F4"/>
    <w:rsid w:val="00D27234"/>
    <w:rsid w:val="00D274A8"/>
    <w:rsid w:val="00D27510"/>
    <w:rsid w:val="00D27574"/>
    <w:rsid w:val="00D2768E"/>
    <w:rsid w:val="00D276DB"/>
    <w:rsid w:val="00D277A2"/>
    <w:rsid w:val="00D279CF"/>
    <w:rsid w:val="00D27ACB"/>
    <w:rsid w:val="00D27BE6"/>
    <w:rsid w:val="00D3080C"/>
    <w:rsid w:val="00D31622"/>
    <w:rsid w:val="00D3163F"/>
    <w:rsid w:val="00D31743"/>
    <w:rsid w:val="00D3188A"/>
    <w:rsid w:val="00D318B7"/>
    <w:rsid w:val="00D31B78"/>
    <w:rsid w:val="00D32220"/>
    <w:rsid w:val="00D3246C"/>
    <w:rsid w:val="00D324D2"/>
    <w:rsid w:val="00D3263D"/>
    <w:rsid w:val="00D327FC"/>
    <w:rsid w:val="00D32EAB"/>
    <w:rsid w:val="00D32F93"/>
    <w:rsid w:val="00D33033"/>
    <w:rsid w:val="00D332C7"/>
    <w:rsid w:val="00D336C5"/>
    <w:rsid w:val="00D3370F"/>
    <w:rsid w:val="00D33816"/>
    <w:rsid w:val="00D3393E"/>
    <w:rsid w:val="00D33CE2"/>
    <w:rsid w:val="00D34193"/>
    <w:rsid w:val="00D34334"/>
    <w:rsid w:val="00D34342"/>
    <w:rsid w:val="00D3469E"/>
    <w:rsid w:val="00D34949"/>
    <w:rsid w:val="00D34CF9"/>
    <w:rsid w:val="00D34D91"/>
    <w:rsid w:val="00D34DFC"/>
    <w:rsid w:val="00D34EFA"/>
    <w:rsid w:val="00D3533D"/>
    <w:rsid w:val="00D355DD"/>
    <w:rsid w:val="00D35759"/>
    <w:rsid w:val="00D35A0E"/>
    <w:rsid w:val="00D35A77"/>
    <w:rsid w:val="00D35D94"/>
    <w:rsid w:val="00D36526"/>
    <w:rsid w:val="00D36778"/>
    <w:rsid w:val="00D36939"/>
    <w:rsid w:val="00D36A9C"/>
    <w:rsid w:val="00D36BB1"/>
    <w:rsid w:val="00D36C7A"/>
    <w:rsid w:val="00D36F00"/>
    <w:rsid w:val="00D370B4"/>
    <w:rsid w:val="00D37289"/>
    <w:rsid w:val="00D375EC"/>
    <w:rsid w:val="00D37ADB"/>
    <w:rsid w:val="00D37D8F"/>
    <w:rsid w:val="00D37F0C"/>
    <w:rsid w:val="00D400BD"/>
    <w:rsid w:val="00D41009"/>
    <w:rsid w:val="00D4101C"/>
    <w:rsid w:val="00D4147F"/>
    <w:rsid w:val="00D4167B"/>
    <w:rsid w:val="00D41967"/>
    <w:rsid w:val="00D41E4A"/>
    <w:rsid w:val="00D42081"/>
    <w:rsid w:val="00D4212D"/>
    <w:rsid w:val="00D42379"/>
    <w:rsid w:val="00D42535"/>
    <w:rsid w:val="00D425AF"/>
    <w:rsid w:val="00D425DC"/>
    <w:rsid w:val="00D428CA"/>
    <w:rsid w:val="00D428DC"/>
    <w:rsid w:val="00D42A7F"/>
    <w:rsid w:val="00D43065"/>
    <w:rsid w:val="00D430ED"/>
    <w:rsid w:val="00D43131"/>
    <w:rsid w:val="00D434B4"/>
    <w:rsid w:val="00D43808"/>
    <w:rsid w:val="00D43C9A"/>
    <w:rsid w:val="00D43F32"/>
    <w:rsid w:val="00D448A6"/>
    <w:rsid w:val="00D44AAB"/>
    <w:rsid w:val="00D44C13"/>
    <w:rsid w:val="00D4530D"/>
    <w:rsid w:val="00D453DA"/>
    <w:rsid w:val="00D45AB1"/>
    <w:rsid w:val="00D4602A"/>
    <w:rsid w:val="00D462DD"/>
    <w:rsid w:val="00D469AA"/>
    <w:rsid w:val="00D4720E"/>
    <w:rsid w:val="00D4730A"/>
    <w:rsid w:val="00D47614"/>
    <w:rsid w:val="00D47932"/>
    <w:rsid w:val="00D47A1C"/>
    <w:rsid w:val="00D47C6E"/>
    <w:rsid w:val="00D47DE6"/>
    <w:rsid w:val="00D47DEA"/>
    <w:rsid w:val="00D50295"/>
    <w:rsid w:val="00D505C6"/>
    <w:rsid w:val="00D5108E"/>
    <w:rsid w:val="00D51099"/>
    <w:rsid w:val="00D51686"/>
    <w:rsid w:val="00D51768"/>
    <w:rsid w:val="00D517A9"/>
    <w:rsid w:val="00D51A45"/>
    <w:rsid w:val="00D51D25"/>
    <w:rsid w:val="00D520E6"/>
    <w:rsid w:val="00D52AFD"/>
    <w:rsid w:val="00D52CFC"/>
    <w:rsid w:val="00D52FCE"/>
    <w:rsid w:val="00D5302F"/>
    <w:rsid w:val="00D530AB"/>
    <w:rsid w:val="00D53277"/>
    <w:rsid w:val="00D53A5A"/>
    <w:rsid w:val="00D53E20"/>
    <w:rsid w:val="00D540AB"/>
    <w:rsid w:val="00D541AE"/>
    <w:rsid w:val="00D542D8"/>
    <w:rsid w:val="00D545BB"/>
    <w:rsid w:val="00D546F8"/>
    <w:rsid w:val="00D54856"/>
    <w:rsid w:val="00D548EF"/>
    <w:rsid w:val="00D55014"/>
    <w:rsid w:val="00D55038"/>
    <w:rsid w:val="00D5512E"/>
    <w:rsid w:val="00D55248"/>
    <w:rsid w:val="00D5569F"/>
    <w:rsid w:val="00D556F5"/>
    <w:rsid w:val="00D5580E"/>
    <w:rsid w:val="00D55B17"/>
    <w:rsid w:val="00D55C58"/>
    <w:rsid w:val="00D55DED"/>
    <w:rsid w:val="00D55EDC"/>
    <w:rsid w:val="00D55F1C"/>
    <w:rsid w:val="00D562AD"/>
    <w:rsid w:val="00D565C8"/>
    <w:rsid w:val="00D566CA"/>
    <w:rsid w:val="00D56A7C"/>
    <w:rsid w:val="00D56AFB"/>
    <w:rsid w:val="00D56DAE"/>
    <w:rsid w:val="00D56F3D"/>
    <w:rsid w:val="00D57286"/>
    <w:rsid w:val="00D572C0"/>
    <w:rsid w:val="00D5750B"/>
    <w:rsid w:val="00D575A0"/>
    <w:rsid w:val="00D575F6"/>
    <w:rsid w:val="00D57689"/>
    <w:rsid w:val="00D577DC"/>
    <w:rsid w:val="00D57A84"/>
    <w:rsid w:val="00D57B4A"/>
    <w:rsid w:val="00D6025C"/>
    <w:rsid w:val="00D602F7"/>
    <w:rsid w:val="00D604BC"/>
    <w:rsid w:val="00D60582"/>
    <w:rsid w:val="00D6069A"/>
    <w:rsid w:val="00D60758"/>
    <w:rsid w:val="00D60C3C"/>
    <w:rsid w:val="00D60C90"/>
    <w:rsid w:val="00D60C95"/>
    <w:rsid w:val="00D60CD1"/>
    <w:rsid w:val="00D60D40"/>
    <w:rsid w:val="00D60E0A"/>
    <w:rsid w:val="00D60EAA"/>
    <w:rsid w:val="00D61197"/>
    <w:rsid w:val="00D614CA"/>
    <w:rsid w:val="00D617BB"/>
    <w:rsid w:val="00D61A73"/>
    <w:rsid w:val="00D61BF1"/>
    <w:rsid w:val="00D61D16"/>
    <w:rsid w:val="00D625B9"/>
    <w:rsid w:val="00D625F2"/>
    <w:rsid w:val="00D62CE2"/>
    <w:rsid w:val="00D6303C"/>
    <w:rsid w:val="00D63224"/>
    <w:rsid w:val="00D63279"/>
    <w:rsid w:val="00D6329D"/>
    <w:rsid w:val="00D634B0"/>
    <w:rsid w:val="00D6375E"/>
    <w:rsid w:val="00D63E28"/>
    <w:rsid w:val="00D63F8D"/>
    <w:rsid w:val="00D63FEF"/>
    <w:rsid w:val="00D6432A"/>
    <w:rsid w:val="00D64336"/>
    <w:rsid w:val="00D64544"/>
    <w:rsid w:val="00D645BF"/>
    <w:rsid w:val="00D64AF2"/>
    <w:rsid w:val="00D64BD3"/>
    <w:rsid w:val="00D64C40"/>
    <w:rsid w:val="00D64D39"/>
    <w:rsid w:val="00D64ED3"/>
    <w:rsid w:val="00D65025"/>
    <w:rsid w:val="00D65466"/>
    <w:rsid w:val="00D6550F"/>
    <w:rsid w:val="00D65B16"/>
    <w:rsid w:val="00D65D6B"/>
    <w:rsid w:val="00D65E01"/>
    <w:rsid w:val="00D65F44"/>
    <w:rsid w:val="00D667BE"/>
    <w:rsid w:val="00D6685E"/>
    <w:rsid w:val="00D66904"/>
    <w:rsid w:val="00D66BFF"/>
    <w:rsid w:val="00D67222"/>
    <w:rsid w:val="00D67764"/>
    <w:rsid w:val="00D67826"/>
    <w:rsid w:val="00D67FDC"/>
    <w:rsid w:val="00D70282"/>
    <w:rsid w:val="00D708F0"/>
    <w:rsid w:val="00D70D68"/>
    <w:rsid w:val="00D70FD1"/>
    <w:rsid w:val="00D7123F"/>
    <w:rsid w:val="00D71268"/>
    <w:rsid w:val="00D713A4"/>
    <w:rsid w:val="00D717A2"/>
    <w:rsid w:val="00D71933"/>
    <w:rsid w:val="00D71A91"/>
    <w:rsid w:val="00D71AA2"/>
    <w:rsid w:val="00D71BCF"/>
    <w:rsid w:val="00D71E98"/>
    <w:rsid w:val="00D7212C"/>
    <w:rsid w:val="00D722DD"/>
    <w:rsid w:val="00D7245A"/>
    <w:rsid w:val="00D725AA"/>
    <w:rsid w:val="00D72B26"/>
    <w:rsid w:val="00D72CBE"/>
    <w:rsid w:val="00D72F71"/>
    <w:rsid w:val="00D7300E"/>
    <w:rsid w:val="00D73073"/>
    <w:rsid w:val="00D7323E"/>
    <w:rsid w:val="00D732A1"/>
    <w:rsid w:val="00D73B0A"/>
    <w:rsid w:val="00D73C00"/>
    <w:rsid w:val="00D73C2B"/>
    <w:rsid w:val="00D73C7F"/>
    <w:rsid w:val="00D73D9B"/>
    <w:rsid w:val="00D7468A"/>
    <w:rsid w:val="00D74A8C"/>
    <w:rsid w:val="00D74B6C"/>
    <w:rsid w:val="00D74C22"/>
    <w:rsid w:val="00D74E94"/>
    <w:rsid w:val="00D75B6A"/>
    <w:rsid w:val="00D75B7C"/>
    <w:rsid w:val="00D75B81"/>
    <w:rsid w:val="00D760C3"/>
    <w:rsid w:val="00D76178"/>
    <w:rsid w:val="00D7632A"/>
    <w:rsid w:val="00D76346"/>
    <w:rsid w:val="00D763A6"/>
    <w:rsid w:val="00D76CB2"/>
    <w:rsid w:val="00D76E49"/>
    <w:rsid w:val="00D772C1"/>
    <w:rsid w:val="00D777BC"/>
    <w:rsid w:val="00D77813"/>
    <w:rsid w:val="00D77825"/>
    <w:rsid w:val="00D77CD0"/>
    <w:rsid w:val="00D77FC2"/>
    <w:rsid w:val="00D80228"/>
    <w:rsid w:val="00D803B6"/>
    <w:rsid w:val="00D80620"/>
    <w:rsid w:val="00D8072B"/>
    <w:rsid w:val="00D80949"/>
    <w:rsid w:val="00D80AA4"/>
    <w:rsid w:val="00D80EBA"/>
    <w:rsid w:val="00D813D2"/>
    <w:rsid w:val="00D81435"/>
    <w:rsid w:val="00D81924"/>
    <w:rsid w:val="00D81A31"/>
    <w:rsid w:val="00D81A6E"/>
    <w:rsid w:val="00D81A71"/>
    <w:rsid w:val="00D81CD1"/>
    <w:rsid w:val="00D8205B"/>
    <w:rsid w:val="00D82142"/>
    <w:rsid w:val="00D8214C"/>
    <w:rsid w:val="00D823E1"/>
    <w:rsid w:val="00D8241F"/>
    <w:rsid w:val="00D82ABC"/>
    <w:rsid w:val="00D82B0F"/>
    <w:rsid w:val="00D82B30"/>
    <w:rsid w:val="00D82BD4"/>
    <w:rsid w:val="00D83006"/>
    <w:rsid w:val="00D8302C"/>
    <w:rsid w:val="00D832E4"/>
    <w:rsid w:val="00D83305"/>
    <w:rsid w:val="00D8351E"/>
    <w:rsid w:val="00D83538"/>
    <w:rsid w:val="00D83A52"/>
    <w:rsid w:val="00D83E6F"/>
    <w:rsid w:val="00D83EA4"/>
    <w:rsid w:val="00D8448C"/>
    <w:rsid w:val="00D845A2"/>
    <w:rsid w:val="00D848B3"/>
    <w:rsid w:val="00D8491A"/>
    <w:rsid w:val="00D84A2A"/>
    <w:rsid w:val="00D84BC9"/>
    <w:rsid w:val="00D84C1A"/>
    <w:rsid w:val="00D84DA4"/>
    <w:rsid w:val="00D8500E"/>
    <w:rsid w:val="00D85251"/>
    <w:rsid w:val="00D85290"/>
    <w:rsid w:val="00D8554E"/>
    <w:rsid w:val="00D858E4"/>
    <w:rsid w:val="00D85B37"/>
    <w:rsid w:val="00D85F79"/>
    <w:rsid w:val="00D86827"/>
    <w:rsid w:val="00D86A33"/>
    <w:rsid w:val="00D86BA4"/>
    <w:rsid w:val="00D86CF6"/>
    <w:rsid w:val="00D86D21"/>
    <w:rsid w:val="00D86EA8"/>
    <w:rsid w:val="00D870A0"/>
    <w:rsid w:val="00D873A8"/>
    <w:rsid w:val="00D901A3"/>
    <w:rsid w:val="00D90694"/>
    <w:rsid w:val="00D907F8"/>
    <w:rsid w:val="00D90B55"/>
    <w:rsid w:val="00D90C9C"/>
    <w:rsid w:val="00D90F5E"/>
    <w:rsid w:val="00D90FD8"/>
    <w:rsid w:val="00D91012"/>
    <w:rsid w:val="00D914E9"/>
    <w:rsid w:val="00D91757"/>
    <w:rsid w:val="00D91791"/>
    <w:rsid w:val="00D919A9"/>
    <w:rsid w:val="00D91C10"/>
    <w:rsid w:val="00D91D32"/>
    <w:rsid w:val="00D91F1E"/>
    <w:rsid w:val="00D925FC"/>
    <w:rsid w:val="00D92812"/>
    <w:rsid w:val="00D928F9"/>
    <w:rsid w:val="00D92DF6"/>
    <w:rsid w:val="00D931C5"/>
    <w:rsid w:val="00D9352D"/>
    <w:rsid w:val="00D9377A"/>
    <w:rsid w:val="00D93796"/>
    <w:rsid w:val="00D937CF"/>
    <w:rsid w:val="00D93F09"/>
    <w:rsid w:val="00D94082"/>
    <w:rsid w:val="00D942D5"/>
    <w:rsid w:val="00D9434A"/>
    <w:rsid w:val="00D94713"/>
    <w:rsid w:val="00D94B90"/>
    <w:rsid w:val="00D94D21"/>
    <w:rsid w:val="00D95246"/>
    <w:rsid w:val="00D95BA2"/>
    <w:rsid w:val="00D95D5F"/>
    <w:rsid w:val="00D95ECD"/>
    <w:rsid w:val="00D95F4E"/>
    <w:rsid w:val="00D96054"/>
    <w:rsid w:val="00D9623E"/>
    <w:rsid w:val="00D962B1"/>
    <w:rsid w:val="00D962C0"/>
    <w:rsid w:val="00D963A4"/>
    <w:rsid w:val="00D96B92"/>
    <w:rsid w:val="00D9702C"/>
    <w:rsid w:val="00D97368"/>
    <w:rsid w:val="00D9745D"/>
    <w:rsid w:val="00D97487"/>
    <w:rsid w:val="00D9749A"/>
    <w:rsid w:val="00D974AA"/>
    <w:rsid w:val="00D97571"/>
    <w:rsid w:val="00D97760"/>
    <w:rsid w:val="00D978C9"/>
    <w:rsid w:val="00D97912"/>
    <w:rsid w:val="00D97A70"/>
    <w:rsid w:val="00DA006B"/>
    <w:rsid w:val="00DA01D4"/>
    <w:rsid w:val="00DA01EF"/>
    <w:rsid w:val="00DA058B"/>
    <w:rsid w:val="00DA087A"/>
    <w:rsid w:val="00DA089D"/>
    <w:rsid w:val="00DA0B07"/>
    <w:rsid w:val="00DA0E81"/>
    <w:rsid w:val="00DA0FC6"/>
    <w:rsid w:val="00DA129D"/>
    <w:rsid w:val="00DA14FD"/>
    <w:rsid w:val="00DA16CC"/>
    <w:rsid w:val="00DA1A67"/>
    <w:rsid w:val="00DA1AE6"/>
    <w:rsid w:val="00DA1DFB"/>
    <w:rsid w:val="00DA1EAB"/>
    <w:rsid w:val="00DA1F85"/>
    <w:rsid w:val="00DA21BE"/>
    <w:rsid w:val="00DA227A"/>
    <w:rsid w:val="00DA25A8"/>
    <w:rsid w:val="00DA2744"/>
    <w:rsid w:val="00DA2817"/>
    <w:rsid w:val="00DA2BEF"/>
    <w:rsid w:val="00DA2C3A"/>
    <w:rsid w:val="00DA2D16"/>
    <w:rsid w:val="00DA3103"/>
    <w:rsid w:val="00DA3425"/>
    <w:rsid w:val="00DA36CE"/>
    <w:rsid w:val="00DA3708"/>
    <w:rsid w:val="00DA3784"/>
    <w:rsid w:val="00DA37F2"/>
    <w:rsid w:val="00DA3D2B"/>
    <w:rsid w:val="00DA3D87"/>
    <w:rsid w:val="00DA3E2A"/>
    <w:rsid w:val="00DA3EFB"/>
    <w:rsid w:val="00DA4052"/>
    <w:rsid w:val="00DA42A3"/>
    <w:rsid w:val="00DA469E"/>
    <w:rsid w:val="00DA46DA"/>
    <w:rsid w:val="00DA493F"/>
    <w:rsid w:val="00DA4A6F"/>
    <w:rsid w:val="00DA4FED"/>
    <w:rsid w:val="00DA5045"/>
    <w:rsid w:val="00DA5064"/>
    <w:rsid w:val="00DA5156"/>
    <w:rsid w:val="00DA58C6"/>
    <w:rsid w:val="00DA5E72"/>
    <w:rsid w:val="00DA5F27"/>
    <w:rsid w:val="00DA6565"/>
    <w:rsid w:val="00DA663A"/>
    <w:rsid w:val="00DA678C"/>
    <w:rsid w:val="00DA6F1B"/>
    <w:rsid w:val="00DA7053"/>
    <w:rsid w:val="00DA76A7"/>
    <w:rsid w:val="00DA7A80"/>
    <w:rsid w:val="00DA7B5B"/>
    <w:rsid w:val="00DA7B79"/>
    <w:rsid w:val="00DA7F50"/>
    <w:rsid w:val="00DB01A2"/>
    <w:rsid w:val="00DB02B3"/>
    <w:rsid w:val="00DB0F2F"/>
    <w:rsid w:val="00DB12A7"/>
    <w:rsid w:val="00DB1730"/>
    <w:rsid w:val="00DB1A3D"/>
    <w:rsid w:val="00DB1E59"/>
    <w:rsid w:val="00DB1EAD"/>
    <w:rsid w:val="00DB1F99"/>
    <w:rsid w:val="00DB22D1"/>
    <w:rsid w:val="00DB25E0"/>
    <w:rsid w:val="00DB26E7"/>
    <w:rsid w:val="00DB276D"/>
    <w:rsid w:val="00DB2891"/>
    <w:rsid w:val="00DB28F5"/>
    <w:rsid w:val="00DB2A98"/>
    <w:rsid w:val="00DB2E4E"/>
    <w:rsid w:val="00DB2F24"/>
    <w:rsid w:val="00DB304C"/>
    <w:rsid w:val="00DB3198"/>
    <w:rsid w:val="00DB355B"/>
    <w:rsid w:val="00DB38DF"/>
    <w:rsid w:val="00DB390D"/>
    <w:rsid w:val="00DB3CDA"/>
    <w:rsid w:val="00DB3D67"/>
    <w:rsid w:val="00DB3E03"/>
    <w:rsid w:val="00DB4116"/>
    <w:rsid w:val="00DB49F4"/>
    <w:rsid w:val="00DB4A0E"/>
    <w:rsid w:val="00DB4B67"/>
    <w:rsid w:val="00DB4D45"/>
    <w:rsid w:val="00DB4EC1"/>
    <w:rsid w:val="00DB513A"/>
    <w:rsid w:val="00DB5147"/>
    <w:rsid w:val="00DB57CE"/>
    <w:rsid w:val="00DB5E8F"/>
    <w:rsid w:val="00DB6070"/>
    <w:rsid w:val="00DB6349"/>
    <w:rsid w:val="00DB6938"/>
    <w:rsid w:val="00DB6A3C"/>
    <w:rsid w:val="00DB6CB0"/>
    <w:rsid w:val="00DB6FFD"/>
    <w:rsid w:val="00DB7263"/>
    <w:rsid w:val="00DC043D"/>
    <w:rsid w:val="00DC0DC2"/>
    <w:rsid w:val="00DC120B"/>
    <w:rsid w:val="00DC1530"/>
    <w:rsid w:val="00DC1832"/>
    <w:rsid w:val="00DC1945"/>
    <w:rsid w:val="00DC1AE1"/>
    <w:rsid w:val="00DC2AA4"/>
    <w:rsid w:val="00DC2C7E"/>
    <w:rsid w:val="00DC2CF0"/>
    <w:rsid w:val="00DC37CD"/>
    <w:rsid w:val="00DC38E4"/>
    <w:rsid w:val="00DC395C"/>
    <w:rsid w:val="00DC3A74"/>
    <w:rsid w:val="00DC3D2F"/>
    <w:rsid w:val="00DC3E11"/>
    <w:rsid w:val="00DC436E"/>
    <w:rsid w:val="00DC471C"/>
    <w:rsid w:val="00DC4A44"/>
    <w:rsid w:val="00DC4D3D"/>
    <w:rsid w:val="00DC4E2B"/>
    <w:rsid w:val="00DC4E39"/>
    <w:rsid w:val="00DC56C5"/>
    <w:rsid w:val="00DC56FA"/>
    <w:rsid w:val="00DC588F"/>
    <w:rsid w:val="00DC59DE"/>
    <w:rsid w:val="00DC5AAC"/>
    <w:rsid w:val="00DC5D1B"/>
    <w:rsid w:val="00DC5E7C"/>
    <w:rsid w:val="00DC5EB9"/>
    <w:rsid w:val="00DC5FBC"/>
    <w:rsid w:val="00DC64E5"/>
    <w:rsid w:val="00DC6605"/>
    <w:rsid w:val="00DC6980"/>
    <w:rsid w:val="00DC6B81"/>
    <w:rsid w:val="00DC6E28"/>
    <w:rsid w:val="00DC76FC"/>
    <w:rsid w:val="00DC7C64"/>
    <w:rsid w:val="00DC7CF1"/>
    <w:rsid w:val="00DC7D50"/>
    <w:rsid w:val="00DC7DEE"/>
    <w:rsid w:val="00DD00B3"/>
    <w:rsid w:val="00DD0595"/>
    <w:rsid w:val="00DD05BF"/>
    <w:rsid w:val="00DD0E45"/>
    <w:rsid w:val="00DD10FF"/>
    <w:rsid w:val="00DD11E1"/>
    <w:rsid w:val="00DD11F6"/>
    <w:rsid w:val="00DD1211"/>
    <w:rsid w:val="00DD2039"/>
    <w:rsid w:val="00DD2832"/>
    <w:rsid w:val="00DD2A65"/>
    <w:rsid w:val="00DD2C6C"/>
    <w:rsid w:val="00DD30FD"/>
    <w:rsid w:val="00DD32F6"/>
    <w:rsid w:val="00DD3709"/>
    <w:rsid w:val="00DD3810"/>
    <w:rsid w:val="00DD3848"/>
    <w:rsid w:val="00DD3DB0"/>
    <w:rsid w:val="00DD3F89"/>
    <w:rsid w:val="00DD403A"/>
    <w:rsid w:val="00DD473F"/>
    <w:rsid w:val="00DD510E"/>
    <w:rsid w:val="00DD5126"/>
    <w:rsid w:val="00DD513F"/>
    <w:rsid w:val="00DD516F"/>
    <w:rsid w:val="00DD54DE"/>
    <w:rsid w:val="00DD5591"/>
    <w:rsid w:val="00DD58AE"/>
    <w:rsid w:val="00DD58ED"/>
    <w:rsid w:val="00DD5A29"/>
    <w:rsid w:val="00DD5F54"/>
    <w:rsid w:val="00DD6083"/>
    <w:rsid w:val="00DD6226"/>
    <w:rsid w:val="00DD6766"/>
    <w:rsid w:val="00DD689E"/>
    <w:rsid w:val="00DD6ADF"/>
    <w:rsid w:val="00DD6BF7"/>
    <w:rsid w:val="00DD6E44"/>
    <w:rsid w:val="00DD6F3B"/>
    <w:rsid w:val="00DD70A5"/>
    <w:rsid w:val="00DD70E8"/>
    <w:rsid w:val="00DD7621"/>
    <w:rsid w:val="00DD776F"/>
    <w:rsid w:val="00DD7910"/>
    <w:rsid w:val="00DE080C"/>
    <w:rsid w:val="00DE0B92"/>
    <w:rsid w:val="00DE0BAB"/>
    <w:rsid w:val="00DE0BDD"/>
    <w:rsid w:val="00DE0C15"/>
    <w:rsid w:val="00DE0D27"/>
    <w:rsid w:val="00DE0FDA"/>
    <w:rsid w:val="00DE14A6"/>
    <w:rsid w:val="00DE16BF"/>
    <w:rsid w:val="00DE1702"/>
    <w:rsid w:val="00DE18F1"/>
    <w:rsid w:val="00DE1D62"/>
    <w:rsid w:val="00DE1FC6"/>
    <w:rsid w:val="00DE2272"/>
    <w:rsid w:val="00DE2624"/>
    <w:rsid w:val="00DE2CDC"/>
    <w:rsid w:val="00DE3003"/>
    <w:rsid w:val="00DE3274"/>
    <w:rsid w:val="00DE3392"/>
    <w:rsid w:val="00DE3781"/>
    <w:rsid w:val="00DE4043"/>
    <w:rsid w:val="00DE422E"/>
    <w:rsid w:val="00DE43A5"/>
    <w:rsid w:val="00DE4460"/>
    <w:rsid w:val="00DE44B6"/>
    <w:rsid w:val="00DE504B"/>
    <w:rsid w:val="00DE51C8"/>
    <w:rsid w:val="00DE5845"/>
    <w:rsid w:val="00DE5A66"/>
    <w:rsid w:val="00DE5B0A"/>
    <w:rsid w:val="00DE5E20"/>
    <w:rsid w:val="00DE60F2"/>
    <w:rsid w:val="00DE6118"/>
    <w:rsid w:val="00DE6168"/>
    <w:rsid w:val="00DE64D5"/>
    <w:rsid w:val="00DE66C6"/>
    <w:rsid w:val="00DE67C8"/>
    <w:rsid w:val="00DE6CF9"/>
    <w:rsid w:val="00DE6E1F"/>
    <w:rsid w:val="00DE71D2"/>
    <w:rsid w:val="00DE771F"/>
    <w:rsid w:val="00DF002E"/>
    <w:rsid w:val="00DF013D"/>
    <w:rsid w:val="00DF015D"/>
    <w:rsid w:val="00DF09DB"/>
    <w:rsid w:val="00DF0BF9"/>
    <w:rsid w:val="00DF1003"/>
    <w:rsid w:val="00DF13EF"/>
    <w:rsid w:val="00DF1733"/>
    <w:rsid w:val="00DF1A09"/>
    <w:rsid w:val="00DF2119"/>
    <w:rsid w:val="00DF25AC"/>
    <w:rsid w:val="00DF26BB"/>
    <w:rsid w:val="00DF2C28"/>
    <w:rsid w:val="00DF37DF"/>
    <w:rsid w:val="00DF3B02"/>
    <w:rsid w:val="00DF3BF6"/>
    <w:rsid w:val="00DF3D98"/>
    <w:rsid w:val="00DF42D8"/>
    <w:rsid w:val="00DF4CC7"/>
    <w:rsid w:val="00DF53CE"/>
    <w:rsid w:val="00DF540E"/>
    <w:rsid w:val="00DF56BE"/>
    <w:rsid w:val="00DF5A91"/>
    <w:rsid w:val="00DF6A64"/>
    <w:rsid w:val="00DF6BAE"/>
    <w:rsid w:val="00DF6C00"/>
    <w:rsid w:val="00DF70A6"/>
    <w:rsid w:val="00DF7426"/>
    <w:rsid w:val="00DF781A"/>
    <w:rsid w:val="00DF7895"/>
    <w:rsid w:val="00DF7BAF"/>
    <w:rsid w:val="00DF7D9C"/>
    <w:rsid w:val="00DF7DA6"/>
    <w:rsid w:val="00DF7E6D"/>
    <w:rsid w:val="00E002F8"/>
    <w:rsid w:val="00E0094C"/>
    <w:rsid w:val="00E00AF6"/>
    <w:rsid w:val="00E00AFE"/>
    <w:rsid w:val="00E00EA9"/>
    <w:rsid w:val="00E01719"/>
    <w:rsid w:val="00E0180B"/>
    <w:rsid w:val="00E01A58"/>
    <w:rsid w:val="00E01DA6"/>
    <w:rsid w:val="00E01F64"/>
    <w:rsid w:val="00E022F6"/>
    <w:rsid w:val="00E02351"/>
    <w:rsid w:val="00E02411"/>
    <w:rsid w:val="00E02499"/>
    <w:rsid w:val="00E0267C"/>
    <w:rsid w:val="00E0267E"/>
    <w:rsid w:val="00E0270D"/>
    <w:rsid w:val="00E02978"/>
    <w:rsid w:val="00E02979"/>
    <w:rsid w:val="00E02A04"/>
    <w:rsid w:val="00E02A73"/>
    <w:rsid w:val="00E02EFA"/>
    <w:rsid w:val="00E02F0A"/>
    <w:rsid w:val="00E0375A"/>
    <w:rsid w:val="00E037BC"/>
    <w:rsid w:val="00E0393A"/>
    <w:rsid w:val="00E03E8D"/>
    <w:rsid w:val="00E03F4F"/>
    <w:rsid w:val="00E0412F"/>
    <w:rsid w:val="00E04206"/>
    <w:rsid w:val="00E048CB"/>
    <w:rsid w:val="00E04928"/>
    <w:rsid w:val="00E049A3"/>
    <w:rsid w:val="00E04B74"/>
    <w:rsid w:val="00E04BD9"/>
    <w:rsid w:val="00E04C9E"/>
    <w:rsid w:val="00E04E24"/>
    <w:rsid w:val="00E05266"/>
    <w:rsid w:val="00E052FC"/>
    <w:rsid w:val="00E056CE"/>
    <w:rsid w:val="00E0583D"/>
    <w:rsid w:val="00E05F0C"/>
    <w:rsid w:val="00E06013"/>
    <w:rsid w:val="00E061F7"/>
    <w:rsid w:val="00E0635F"/>
    <w:rsid w:val="00E06EE4"/>
    <w:rsid w:val="00E07081"/>
    <w:rsid w:val="00E0715F"/>
    <w:rsid w:val="00E0733D"/>
    <w:rsid w:val="00E073A2"/>
    <w:rsid w:val="00E0760A"/>
    <w:rsid w:val="00E07812"/>
    <w:rsid w:val="00E07A01"/>
    <w:rsid w:val="00E07A4D"/>
    <w:rsid w:val="00E07CFC"/>
    <w:rsid w:val="00E07DD8"/>
    <w:rsid w:val="00E07EB4"/>
    <w:rsid w:val="00E10056"/>
    <w:rsid w:val="00E100C9"/>
    <w:rsid w:val="00E103CE"/>
    <w:rsid w:val="00E1096F"/>
    <w:rsid w:val="00E10D89"/>
    <w:rsid w:val="00E11082"/>
    <w:rsid w:val="00E11176"/>
    <w:rsid w:val="00E11449"/>
    <w:rsid w:val="00E11679"/>
    <w:rsid w:val="00E11B6D"/>
    <w:rsid w:val="00E11FAE"/>
    <w:rsid w:val="00E12041"/>
    <w:rsid w:val="00E1227A"/>
    <w:rsid w:val="00E122D2"/>
    <w:rsid w:val="00E12373"/>
    <w:rsid w:val="00E1247E"/>
    <w:rsid w:val="00E128D1"/>
    <w:rsid w:val="00E12A12"/>
    <w:rsid w:val="00E12D7B"/>
    <w:rsid w:val="00E131EB"/>
    <w:rsid w:val="00E1321B"/>
    <w:rsid w:val="00E132FB"/>
    <w:rsid w:val="00E1350B"/>
    <w:rsid w:val="00E1380E"/>
    <w:rsid w:val="00E13D9D"/>
    <w:rsid w:val="00E13DC6"/>
    <w:rsid w:val="00E13E79"/>
    <w:rsid w:val="00E1469A"/>
    <w:rsid w:val="00E149AC"/>
    <w:rsid w:val="00E149B8"/>
    <w:rsid w:val="00E14BD4"/>
    <w:rsid w:val="00E14CEB"/>
    <w:rsid w:val="00E14E10"/>
    <w:rsid w:val="00E14EE6"/>
    <w:rsid w:val="00E14F4F"/>
    <w:rsid w:val="00E14FBF"/>
    <w:rsid w:val="00E150FC"/>
    <w:rsid w:val="00E151E1"/>
    <w:rsid w:val="00E15357"/>
    <w:rsid w:val="00E15E7C"/>
    <w:rsid w:val="00E166AE"/>
    <w:rsid w:val="00E166CA"/>
    <w:rsid w:val="00E16CD4"/>
    <w:rsid w:val="00E1700B"/>
    <w:rsid w:val="00E17052"/>
    <w:rsid w:val="00E17148"/>
    <w:rsid w:val="00E1758F"/>
    <w:rsid w:val="00E17608"/>
    <w:rsid w:val="00E1760A"/>
    <w:rsid w:val="00E17C8F"/>
    <w:rsid w:val="00E17CB8"/>
    <w:rsid w:val="00E20022"/>
    <w:rsid w:val="00E20266"/>
    <w:rsid w:val="00E20C27"/>
    <w:rsid w:val="00E21715"/>
    <w:rsid w:val="00E21E51"/>
    <w:rsid w:val="00E221BA"/>
    <w:rsid w:val="00E224A6"/>
    <w:rsid w:val="00E224C9"/>
    <w:rsid w:val="00E224E5"/>
    <w:rsid w:val="00E2262B"/>
    <w:rsid w:val="00E2281A"/>
    <w:rsid w:val="00E229D8"/>
    <w:rsid w:val="00E22A5B"/>
    <w:rsid w:val="00E22ABF"/>
    <w:rsid w:val="00E22DBE"/>
    <w:rsid w:val="00E23020"/>
    <w:rsid w:val="00E2308A"/>
    <w:rsid w:val="00E2324E"/>
    <w:rsid w:val="00E23276"/>
    <w:rsid w:val="00E23327"/>
    <w:rsid w:val="00E23338"/>
    <w:rsid w:val="00E23514"/>
    <w:rsid w:val="00E2362B"/>
    <w:rsid w:val="00E237AA"/>
    <w:rsid w:val="00E23815"/>
    <w:rsid w:val="00E23820"/>
    <w:rsid w:val="00E239CE"/>
    <w:rsid w:val="00E23F2D"/>
    <w:rsid w:val="00E23F99"/>
    <w:rsid w:val="00E241DA"/>
    <w:rsid w:val="00E2445E"/>
    <w:rsid w:val="00E2456E"/>
    <w:rsid w:val="00E246BE"/>
    <w:rsid w:val="00E24A5A"/>
    <w:rsid w:val="00E24B86"/>
    <w:rsid w:val="00E24BA3"/>
    <w:rsid w:val="00E24E27"/>
    <w:rsid w:val="00E251D6"/>
    <w:rsid w:val="00E25274"/>
    <w:rsid w:val="00E252F1"/>
    <w:rsid w:val="00E25832"/>
    <w:rsid w:val="00E26837"/>
    <w:rsid w:val="00E26A47"/>
    <w:rsid w:val="00E26B62"/>
    <w:rsid w:val="00E26B93"/>
    <w:rsid w:val="00E27376"/>
    <w:rsid w:val="00E27574"/>
    <w:rsid w:val="00E2766C"/>
    <w:rsid w:val="00E27AD8"/>
    <w:rsid w:val="00E27C25"/>
    <w:rsid w:val="00E303AA"/>
    <w:rsid w:val="00E30686"/>
    <w:rsid w:val="00E3088F"/>
    <w:rsid w:val="00E309AF"/>
    <w:rsid w:val="00E30A31"/>
    <w:rsid w:val="00E30AAA"/>
    <w:rsid w:val="00E30CF0"/>
    <w:rsid w:val="00E30D2C"/>
    <w:rsid w:val="00E31008"/>
    <w:rsid w:val="00E310A7"/>
    <w:rsid w:val="00E314AB"/>
    <w:rsid w:val="00E31556"/>
    <w:rsid w:val="00E3169C"/>
    <w:rsid w:val="00E316D6"/>
    <w:rsid w:val="00E316E1"/>
    <w:rsid w:val="00E3180E"/>
    <w:rsid w:val="00E3188B"/>
    <w:rsid w:val="00E31A62"/>
    <w:rsid w:val="00E31DA4"/>
    <w:rsid w:val="00E31EF5"/>
    <w:rsid w:val="00E31F7E"/>
    <w:rsid w:val="00E320C8"/>
    <w:rsid w:val="00E32489"/>
    <w:rsid w:val="00E32717"/>
    <w:rsid w:val="00E327CF"/>
    <w:rsid w:val="00E3292C"/>
    <w:rsid w:val="00E330E6"/>
    <w:rsid w:val="00E33729"/>
    <w:rsid w:val="00E33762"/>
    <w:rsid w:val="00E33C67"/>
    <w:rsid w:val="00E33D6F"/>
    <w:rsid w:val="00E33DB1"/>
    <w:rsid w:val="00E34693"/>
    <w:rsid w:val="00E34883"/>
    <w:rsid w:val="00E348BC"/>
    <w:rsid w:val="00E34949"/>
    <w:rsid w:val="00E35150"/>
    <w:rsid w:val="00E359EA"/>
    <w:rsid w:val="00E35B23"/>
    <w:rsid w:val="00E35CCB"/>
    <w:rsid w:val="00E361AE"/>
    <w:rsid w:val="00E36A4A"/>
    <w:rsid w:val="00E36D99"/>
    <w:rsid w:val="00E36DA4"/>
    <w:rsid w:val="00E36FDD"/>
    <w:rsid w:val="00E370AD"/>
    <w:rsid w:val="00E37244"/>
    <w:rsid w:val="00E37679"/>
    <w:rsid w:val="00E37C57"/>
    <w:rsid w:val="00E40090"/>
    <w:rsid w:val="00E40117"/>
    <w:rsid w:val="00E40196"/>
    <w:rsid w:val="00E40261"/>
    <w:rsid w:val="00E40264"/>
    <w:rsid w:val="00E403E1"/>
    <w:rsid w:val="00E404C5"/>
    <w:rsid w:val="00E40584"/>
    <w:rsid w:val="00E4088A"/>
    <w:rsid w:val="00E408D9"/>
    <w:rsid w:val="00E409E1"/>
    <w:rsid w:val="00E40B13"/>
    <w:rsid w:val="00E410B4"/>
    <w:rsid w:val="00E4114B"/>
    <w:rsid w:val="00E41412"/>
    <w:rsid w:val="00E41D37"/>
    <w:rsid w:val="00E42163"/>
    <w:rsid w:val="00E42322"/>
    <w:rsid w:val="00E42756"/>
    <w:rsid w:val="00E4286E"/>
    <w:rsid w:val="00E42C99"/>
    <w:rsid w:val="00E42D2C"/>
    <w:rsid w:val="00E42D31"/>
    <w:rsid w:val="00E42F90"/>
    <w:rsid w:val="00E4352E"/>
    <w:rsid w:val="00E4359D"/>
    <w:rsid w:val="00E43B3C"/>
    <w:rsid w:val="00E43C1F"/>
    <w:rsid w:val="00E43CC9"/>
    <w:rsid w:val="00E43F8F"/>
    <w:rsid w:val="00E44082"/>
    <w:rsid w:val="00E4416D"/>
    <w:rsid w:val="00E44B86"/>
    <w:rsid w:val="00E44C35"/>
    <w:rsid w:val="00E44C8B"/>
    <w:rsid w:val="00E44CB2"/>
    <w:rsid w:val="00E44D26"/>
    <w:rsid w:val="00E44D79"/>
    <w:rsid w:val="00E44D9A"/>
    <w:rsid w:val="00E44E6F"/>
    <w:rsid w:val="00E4508E"/>
    <w:rsid w:val="00E45A04"/>
    <w:rsid w:val="00E45E6E"/>
    <w:rsid w:val="00E462D1"/>
    <w:rsid w:val="00E46387"/>
    <w:rsid w:val="00E46397"/>
    <w:rsid w:val="00E463E4"/>
    <w:rsid w:val="00E4650C"/>
    <w:rsid w:val="00E4661D"/>
    <w:rsid w:val="00E4678B"/>
    <w:rsid w:val="00E4679C"/>
    <w:rsid w:val="00E4685E"/>
    <w:rsid w:val="00E46CF2"/>
    <w:rsid w:val="00E475B6"/>
    <w:rsid w:val="00E4770A"/>
    <w:rsid w:val="00E47746"/>
    <w:rsid w:val="00E47C6A"/>
    <w:rsid w:val="00E47D93"/>
    <w:rsid w:val="00E47F3B"/>
    <w:rsid w:val="00E501D5"/>
    <w:rsid w:val="00E5034D"/>
    <w:rsid w:val="00E50AA2"/>
    <w:rsid w:val="00E50C96"/>
    <w:rsid w:val="00E50D9C"/>
    <w:rsid w:val="00E5118F"/>
    <w:rsid w:val="00E514EE"/>
    <w:rsid w:val="00E515BA"/>
    <w:rsid w:val="00E51A03"/>
    <w:rsid w:val="00E51A33"/>
    <w:rsid w:val="00E51AE4"/>
    <w:rsid w:val="00E51EE5"/>
    <w:rsid w:val="00E52010"/>
    <w:rsid w:val="00E5266E"/>
    <w:rsid w:val="00E526FC"/>
    <w:rsid w:val="00E52766"/>
    <w:rsid w:val="00E52774"/>
    <w:rsid w:val="00E52D94"/>
    <w:rsid w:val="00E52F33"/>
    <w:rsid w:val="00E52FE5"/>
    <w:rsid w:val="00E532A1"/>
    <w:rsid w:val="00E5376F"/>
    <w:rsid w:val="00E53789"/>
    <w:rsid w:val="00E538AD"/>
    <w:rsid w:val="00E53963"/>
    <w:rsid w:val="00E53B32"/>
    <w:rsid w:val="00E53B3F"/>
    <w:rsid w:val="00E53B79"/>
    <w:rsid w:val="00E53DB1"/>
    <w:rsid w:val="00E53E0E"/>
    <w:rsid w:val="00E54316"/>
    <w:rsid w:val="00E54370"/>
    <w:rsid w:val="00E54918"/>
    <w:rsid w:val="00E54BAC"/>
    <w:rsid w:val="00E55916"/>
    <w:rsid w:val="00E55B62"/>
    <w:rsid w:val="00E55CBA"/>
    <w:rsid w:val="00E55E38"/>
    <w:rsid w:val="00E563A1"/>
    <w:rsid w:val="00E5652F"/>
    <w:rsid w:val="00E565C2"/>
    <w:rsid w:val="00E56BC6"/>
    <w:rsid w:val="00E56EBF"/>
    <w:rsid w:val="00E573FD"/>
    <w:rsid w:val="00E579D0"/>
    <w:rsid w:val="00E57A50"/>
    <w:rsid w:val="00E57EA1"/>
    <w:rsid w:val="00E60479"/>
    <w:rsid w:val="00E6060C"/>
    <w:rsid w:val="00E60C1E"/>
    <w:rsid w:val="00E60D6C"/>
    <w:rsid w:val="00E60FC6"/>
    <w:rsid w:val="00E61066"/>
    <w:rsid w:val="00E61441"/>
    <w:rsid w:val="00E6156C"/>
    <w:rsid w:val="00E61901"/>
    <w:rsid w:val="00E619A8"/>
    <w:rsid w:val="00E61E1F"/>
    <w:rsid w:val="00E6209E"/>
    <w:rsid w:val="00E628C2"/>
    <w:rsid w:val="00E62C7F"/>
    <w:rsid w:val="00E63073"/>
    <w:rsid w:val="00E630A0"/>
    <w:rsid w:val="00E630F6"/>
    <w:rsid w:val="00E634B1"/>
    <w:rsid w:val="00E635EE"/>
    <w:rsid w:val="00E63CA2"/>
    <w:rsid w:val="00E640C7"/>
    <w:rsid w:val="00E64411"/>
    <w:rsid w:val="00E6446C"/>
    <w:rsid w:val="00E6455B"/>
    <w:rsid w:val="00E64616"/>
    <w:rsid w:val="00E647D4"/>
    <w:rsid w:val="00E64A84"/>
    <w:rsid w:val="00E64E7E"/>
    <w:rsid w:val="00E6561A"/>
    <w:rsid w:val="00E657BC"/>
    <w:rsid w:val="00E6582A"/>
    <w:rsid w:val="00E65B6C"/>
    <w:rsid w:val="00E66185"/>
    <w:rsid w:val="00E662EF"/>
    <w:rsid w:val="00E665F3"/>
    <w:rsid w:val="00E66618"/>
    <w:rsid w:val="00E6665B"/>
    <w:rsid w:val="00E6665E"/>
    <w:rsid w:val="00E6670C"/>
    <w:rsid w:val="00E667A7"/>
    <w:rsid w:val="00E66821"/>
    <w:rsid w:val="00E669C6"/>
    <w:rsid w:val="00E66B1B"/>
    <w:rsid w:val="00E66BD6"/>
    <w:rsid w:val="00E66F7A"/>
    <w:rsid w:val="00E66FC4"/>
    <w:rsid w:val="00E67048"/>
    <w:rsid w:val="00E67075"/>
    <w:rsid w:val="00E670C9"/>
    <w:rsid w:val="00E675E8"/>
    <w:rsid w:val="00E67753"/>
    <w:rsid w:val="00E67EF5"/>
    <w:rsid w:val="00E70214"/>
    <w:rsid w:val="00E70282"/>
    <w:rsid w:val="00E7080A"/>
    <w:rsid w:val="00E709D8"/>
    <w:rsid w:val="00E70E9D"/>
    <w:rsid w:val="00E70EF9"/>
    <w:rsid w:val="00E71045"/>
    <w:rsid w:val="00E71196"/>
    <w:rsid w:val="00E71450"/>
    <w:rsid w:val="00E71452"/>
    <w:rsid w:val="00E7172B"/>
    <w:rsid w:val="00E718F4"/>
    <w:rsid w:val="00E71910"/>
    <w:rsid w:val="00E72177"/>
    <w:rsid w:val="00E72385"/>
    <w:rsid w:val="00E72893"/>
    <w:rsid w:val="00E72C56"/>
    <w:rsid w:val="00E72D03"/>
    <w:rsid w:val="00E730AE"/>
    <w:rsid w:val="00E73205"/>
    <w:rsid w:val="00E73283"/>
    <w:rsid w:val="00E7332D"/>
    <w:rsid w:val="00E734AE"/>
    <w:rsid w:val="00E73A6C"/>
    <w:rsid w:val="00E73BDE"/>
    <w:rsid w:val="00E73D9C"/>
    <w:rsid w:val="00E73E08"/>
    <w:rsid w:val="00E7450E"/>
    <w:rsid w:val="00E748AB"/>
    <w:rsid w:val="00E74BE0"/>
    <w:rsid w:val="00E74D27"/>
    <w:rsid w:val="00E74E19"/>
    <w:rsid w:val="00E74EB4"/>
    <w:rsid w:val="00E75276"/>
    <w:rsid w:val="00E75443"/>
    <w:rsid w:val="00E75468"/>
    <w:rsid w:val="00E75B9E"/>
    <w:rsid w:val="00E76093"/>
    <w:rsid w:val="00E76CA1"/>
    <w:rsid w:val="00E76DB5"/>
    <w:rsid w:val="00E76F70"/>
    <w:rsid w:val="00E771B9"/>
    <w:rsid w:val="00E77215"/>
    <w:rsid w:val="00E7727C"/>
    <w:rsid w:val="00E778BE"/>
    <w:rsid w:val="00E77912"/>
    <w:rsid w:val="00E7795B"/>
    <w:rsid w:val="00E77AFA"/>
    <w:rsid w:val="00E77F78"/>
    <w:rsid w:val="00E80210"/>
    <w:rsid w:val="00E804DA"/>
    <w:rsid w:val="00E80854"/>
    <w:rsid w:val="00E80872"/>
    <w:rsid w:val="00E808E5"/>
    <w:rsid w:val="00E809E9"/>
    <w:rsid w:val="00E80D45"/>
    <w:rsid w:val="00E80D78"/>
    <w:rsid w:val="00E8115E"/>
    <w:rsid w:val="00E81758"/>
    <w:rsid w:val="00E81AB2"/>
    <w:rsid w:val="00E81AEB"/>
    <w:rsid w:val="00E81B8A"/>
    <w:rsid w:val="00E81EFD"/>
    <w:rsid w:val="00E823EF"/>
    <w:rsid w:val="00E826DB"/>
    <w:rsid w:val="00E82762"/>
    <w:rsid w:val="00E82959"/>
    <w:rsid w:val="00E82A00"/>
    <w:rsid w:val="00E83599"/>
    <w:rsid w:val="00E83A4F"/>
    <w:rsid w:val="00E83DE3"/>
    <w:rsid w:val="00E84030"/>
    <w:rsid w:val="00E84566"/>
    <w:rsid w:val="00E84926"/>
    <w:rsid w:val="00E84BD0"/>
    <w:rsid w:val="00E84CBF"/>
    <w:rsid w:val="00E84DDF"/>
    <w:rsid w:val="00E85029"/>
    <w:rsid w:val="00E85654"/>
    <w:rsid w:val="00E8614C"/>
    <w:rsid w:val="00E86347"/>
    <w:rsid w:val="00E8636E"/>
    <w:rsid w:val="00E8644F"/>
    <w:rsid w:val="00E86957"/>
    <w:rsid w:val="00E86BAE"/>
    <w:rsid w:val="00E86D41"/>
    <w:rsid w:val="00E86F48"/>
    <w:rsid w:val="00E86F9B"/>
    <w:rsid w:val="00E87F55"/>
    <w:rsid w:val="00E900E7"/>
    <w:rsid w:val="00E90721"/>
    <w:rsid w:val="00E90913"/>
    <w:rsid w:val="00E909B0"/>
    <w:rsid w:val="00E90E14"/>
    <w:rsid w:val="00E90F70"/>
    <w:rsid w:val="00E91076"/>
    <w:rsid w:val="00E910F6"/>
    <w:rsid w:val="00E917EF"/>
    <w:rsid w:val="00E91853"/>
    <w:rsid w:val="00E91AB4"/>
    <w:rsid w:val="00E92129"/>
    <w:rsid w:val="00E9228D"/>
    <w:rsid w:val="00E922AE"/>
    <w:rsid w:val="00E923AB"/>
    <w:rsid w:val="00E929F9"/>
    <w:rsid w:val="00E92AA0"/>
    <w:rsid w:val="00E92C9C"/>
    <w:rsid w:val="00E9327E"/>
    <w:rsid w:val="00E93489"/>
    <w:rsid w:val="00E9350C"/>
    <w:rsid w:val="00E93B7D"/>
    <w:rsid w:val="00E93D43"/>
    <w:rsid w:val="00E93F37"/>
    <w:rsid w:val="00E9423A"/>
    <w:rsid w:val="00E942B6"/>
    <w:rsid w:val="00E943DF"/>
    <w:rsid w:val="00E94426"/>
    <w:rsid w:val="00E94526"/>
    <w:rsid w:val="00E947A2"/>
    <w:rsid w:val="00E947C7"/>
    <w:rsid w:val="00E9508B"/>
    <w:rsid w:val="00E95140"/>
    <w:rsid w:val="00E954ED"/>
    <w:rsid w:val="00E95A64"/>
    <w:rsid w:val="00E95C0D"/>
    <w:rsid w:val="00E95C9E"/>
    <w:rsid w:val="00E95CC2"/>
    <w:rsid w:val="00E95E89"/>
    <w:rsid w:val="00E95F07"/>
    <w:rsid w:val="00E95F8D"/>
    <w:rsid w:val="00E965C8"/>
    <w:rsid w:val="00E966FD"/>
    <w:rsid w:val="00E96752"/>
    <w:rsid w:val="00E96A16"/>
    <w:rsid w:val="00E97287"/>
    <w:rsid w:val="00E972E0"/>
    <w:rsid w:val="00E97543"/>
    <w:rsid w:val="00E97750"/>
    <w:rsid w:val="00E97817"/>
    <w:rsid w:val="00E9786E"/>
    <w:rsid w:val="00E97898"/>
    <w:rsid w:val="00E978E7"/>
    <w:rsid w:val="00E9791B"/>
    <w:rsid w:val="00E97E8F"/>
    <w:rsid w:val="00EA049A"/>
    <w:rsid w:val="00EA09FE"/>
    <w:rsid w:val="00EA0C00"/>
    <w:rsid w:val="00EA0C5C"/>
    <w:rsid w:val="00EA0EEA"/>
    <w:rsid w:val="00EA1006"/>
    <w:rsid w:val="00EA1095"/>
    <w:rsid w:val="00EA113E"/>
    <w:rsid w:val="00EA1195"/>
    <w:rsid w:val="00EA11AA"/>
    <w:rsid w:val="00EA1391"/>
    <w:rsid w:val="00EA13B0"/>
    <w:rsid w:val="00EA1473"/>
    <w:rsid w:val="00EA147E"/>
    <w:rsid w:val="00EA14CD"/>
    <w:rsid w:val="00EA1616"/>
    <w:rsid w:val="00EA176B"/>
    <w:rsid w:val="00EA22DD"/>
    <w:rsid w:val="00EA24A5"/>
    <w:rsid w:val="00EA267D"/>
    <w:rsid w:val="00EA3747"/>
    <w:rsid w:val="00EA3812"/>
    <w:rsid w:val="00EA3DDB"/>
    <w:rsid w:val="00EA3DF8"/>
    <w:rsid w:val="00EA42AC"/>
    <w:rsid w:val="00EA4585"/>
    <w:rsid w:val="00EA479E"/>
    <w:rsid w:val="00EA4BF2"/>
    <w:rsid w:val="00EA507D"/>
    <w:rsid w:val="00EA52E4"/>
    <w:rsid w:val="00EA5440"/>
    <w:rsid w:val="00EA5775"/>
    <w:rsid w:val="00EA5C82"/>
    <w:rsid w:val="00EA6986"/>
    <w:rsid w:val="00EA6A79"/>
    <w:rsid w:val="00EA6ACC"/>
    <w:rsid w:val="00EA6B8E"/>
    <w:rsid w:val="00EA6BEC"/>
    <w:rsid w:val="00EA6D42"/>
    <w:rsid w:val="00EA6DCE"/>
    <w:rsid w:val="00EA7088"/>
    <w:rsid w:val="00EA7405"/>
    <w:rsid w:val="00EA7A11"/>
    <w:rsid w:val="00EA7A8A"/>
    <w:rsid w:val="00EA7E3A"/>
    <w:rsid w:val="00EA7F01"/>
    <w:rsid w:val="00EB0557"/>
    <w:rsid w:val="00EB08AC"/>
    <w:rsid w:val="00EB0EB3"/>
    <w:rsid w:val="00EB125F"/>
    <w:rsid w:val="00EB158D"/>
    <w:rsid w:val="00EB1AC6"/>
    <w:rsid w:val="00EB1B9E"/>
    <w:rsid w:val="00EB1C67"/>
    <w:rsid w:val="00EB1F67"/>
    <w:rsid w:val="00EB2073"/>
    <w:rsid w:val="00EB20FF"/>
    <w:rsid w:val="00EB214B"/>
    <w:rsid w:val="00EB2151"/>
    <w:rsid w:val="00EB24F9"/>
    <w:rsid w:val="00EB2C7A"/>
    <w:rsid w:val="00EB2FDB"/>
    <w:rsid w:val="00EB331A"/>
    <w:rsid w:val="00EB35CF"/>
    <w:rsid w:val="00EB3971"/>
    <w:rsid w:val="00EB3CBF"/>
    <w:rsid w:val="00EB3CE4"/>
    <w:rsid w:val="00EB4856"/>
    <w:rsid w:val="00EB4BD2"/>
    <w:rsid w:val="00EB4C65"/>
    <w:rsid w:val="00EB4C7F"/>
    <w:rsid w:val="00EB53F8"/>
    <w:rsid w:val="00EB5854"/>
    <w:rsid w:val="00EB6564"/>
    <w:rsid w:val="00EB6597"/>
    <w:rsid w:val="00EB6700"/>
    <w:rsid w:val="00EB7057"/>
    <w:rsid w:val="00EB72CF"/>
    <w:rsid w:val="00EB7378"/>
    <w:rsid w:val="00EB78AC"/>
    <w:rsid w:val="00EB7CEF"/>
    <w:rsid w:val="00EB7DF2"/>
    <w:rsid w:val="00EC040F"/>
    <w:rsid w:val="00EC05FE"/>
    <w:rsid w:val="00EC0965"/>
    <w:rsid w:val="00EC0D1D"/>
    <w:rsid w:val="00EC0D4F"/>
    <w:rsid w:val="00EC10BA"/>
    <w:rsid w:val="00EC1256"/>
    <w:rsid w:val="00EC13C4"/>
    <w:rsid w:val="00EC1817"/>
    <w:rsid w:val="00EC1879"/>
    <w:rsid w:val="00EC1BEF"/>
    <w:rsid w:val="00EC1DBD"/>
    <w:rsid w:val="00EC1E3C"/>
    <w:rsid w:val="00EC1EA9"/>
    <w:rsid w:val="00EC2111"/>
    <w:rsid w:val="00EC24B5"/>
    <w:rsid w:val="00EC2633"/>
    <w:rsid w:val="00EC29E7"/>
    <w:rsid w:val="00EC2A26"/>
    <w:rsid w:val="00EC2B13"/>
    <w:rsid w:val="00EC2C16"/>
    <w:rsid w:val="00EC2ED5"/>
    <w:rsid w:val="00EC30AE"/>
    <w:rsid w:val="00EC3126"/>
    <w:rsid w:val="00EC35DC"/>
    <w:rsid w:val="00EC36A9"/>
    <w:rsid w:val="00EC3AFD"/>
    <w:rsid w:val="00EC3DF7"/>
    <w:rsid w:val="00EC3EF9"/>
    <w:rsid w:val="00EC41A3"/>
    <w:rsid w:val="00EC4344"/>
    <w:rsid w:val="00EC4686"/>
    <w:rsid w:val="00EC57E2"/>
    <w:rsid w:val="00EC59B7"/>
    <w:rsid w:val="00EC5DB1"/>
    <w:rsid w:val="00EC6349"/>
    <w:rsid w:val="00EC68A5"/>
    <w:rsid w:val="00EC68F3"/>
    <w:rsid w:val="00EC6A26"/>
    <w:rsid w:val="00EC6A5E"/>
    <w:rsid w:val="00EC6BFF"/>
    <w:rsid w:val="00EC6D3C"/>
    <w:rsid w:val="00EC6EAB"/>
    <w:rsid w:val="00EC7585"/>
    <w:rsid w:val="00EC77D5"/>
    <w:rsid w:val="00EC791A"/>
    <w:rsid w:val="00EC7A3C"/>
    <w:rsid w:val="00ED0079"/>
    <w:rsid w:val="00ED0616"/>
    <w:rsid w:val="00ED07BF"/>
    <w:rsid w:val="00ED0829"/>
    <w:rsid w:val="00ED087C"/>
    <w:rsid w:val="00ED0998"/>
    <w:rsid w:val="00ED0E5C"/>
    <w:rsid w:val="00ED0F82"/>
    <w:rsid w:val="00ED0FDB"/>
    <w:rsid w:val="00ED1074"/>
    <w:rsid w:val="00ED108D"/>
    <w:rsid w:val="00ED10CB"/>
    <w:rsid w:val="00ED117D"/>
    <w:rsid w:val="00ED11F1"/>
    <w:rsid w:val="00ED12AD"/>
    <w:rsid w:val="00ED14F9"/>
    <w:rsid w:val="00ED1574"/>
    <w:rsid w:val="00ED178C"/>
    <w:rsid w:val="00ED18C5"/>
    <w:rsid w:val="00ED1B29"/>
    <w:rsid w:val="00ED1C02"/>
    <w:rsid w:val="00ED1E75"/>
    <w:rsid w:val="00ED1EB6"/>
    <w:rsid w:val="00ED2091"/>
    <w:rsid w:val="00ED21C1"/>
    <w:rsid w:val="00ED24CF"/>
    <w:rsid w:val="00ED24DC"/>
    <w:rsid w:val="00ED2739"/>
    <w:rsid w:val="00ED30C5"/>
    <w:rsid w:val="00ED3999"/>
    <w:rsid w:val="00ED4461"/>
    <w:rsid w:val="00ED46E4"/>
    <w:rsid w:val="00ED47F7"/>
    <w:rsid w:val="00ED4E2A"/>
    <w:rsid w:val="00ED5648"/>
    <w:rsid w:val="00ED5842"/>
    <w:rsid w:val="00ED5AE5"/>
    <w:rsid w:val="00ED5E45"/>
    <w:rsid w:val="00ED5F3B"/>
    <w:rsid w:val="00ED62D1"/>
    <w:rsid w:val="00ED64B9"/>
    <w:rsid w:val="00ED66DA"/>
    <w:rsid w:val="00ED6E9F"/>
    <w:rsid w:val="00ED715B"/>
    <w:rsid w:val="00ED7876"/>
    <w:rsid w:val="00ED79DC"/>
    <w:rsid w:val="00ED7FBD"/>
    <w:rsid w:val="00EE05F0"/>
    <w:rsid w:val="00EE06D3"/>
    <w:rsid w:val="00EE09B4"/>
    <w:rsid w:val="00EE0FA6"/>
    <w:rsid w:val="00EE0FFC"/>
    <w:rsid w:val="00EE1377"/>
    <w:rsid w:val="00EE13BC"/>
    <w:rsid w:val="00EE1541"/>
    <w:rsid w:val="00EE17AF"/>
    <w:rsid w:val="00EE1819"/>
    <w:rsid w:val="00EE1C52"/>
    <w:rsid w:val="00EE24E6"/>
    <w:rsid w:val="00EE2663"/>
    <w:rsid w:val="00EE276B"/>
    <w:rsid w:val="00EE38BF"/>
    <w:rsid w:val="00EE3EA8"/>
    <w:rsid w:val="00EE40B1"/>
    <w:rsid w:val="00EE4193"/>
    <w:rsid w:val="00EE4527"/>
    <w:rsid w:val="00EE46DF"/>
    <w:rsid w:val="00EE4782"/>
    <w:rsid w:val="00EE4FDB"/>
    <w:rsid w:val="00EE5803"/>
    <w:rsid w:val="00EE5D75"/>
    <w:rsid w:val="00EE5FF9"/>
    <w:rsid w:val="00EE6003"/>
    <w:rsid w:val="00EE6250"/>
    <w:rsid w:val="00EE6503"/>
    <w:rsid w:val="00EE65C8"/>
    <w:rsid w:val="00EE664A"/>
    <w:rsid w:val="00EE680C"/>
    <w:rsid w:val="00EE6B1E"/>
    <w:rsid w:val="00EE74F1"/>
    <w:rsid w:val="00EE7758"/>
    <w:rsid w:val="00EE7831"/>
    <w:rsid w:val="00EE7BB9"/>
    <w:rsid w:val="00EE7DA5"/>
    <w:rsid w:val="00EE7DAA"/>
    <w:rsid w:val="00EF0D18"/>
    <w:rsid w:val="00EF0DC6"/>
    <w:rsid w:val="00EF0DE5"/>
    <w:rsid w:val="00EF1549"/>
    <w:rsid w:val="00EF1868"/>
    <w:rsid w:val="00EF1966"/>
    <w:rsid w:val="00EF1B7E"/>
    <w:rsid w:val="00EF1BD8"/>
    <w:rsid w:val="00EF1C07"/>
    <w:rsid w:val="00EF20D4"/>
    <w:rsid w:val="00EF2861"/>
    <w:rsid w:val="00EF2AF8"/>
    <w:rsid w:val="00EF2C7F"/>
    <w:rsid w:val="00EF2D69"/>
    <w:rsid w:val="00EF2EAB"/>
    <w:rsid w:val="00EF3021"/>
    <w:rsid w:val="00EF338C"/>
    <w:rsid w:val="00EF33CE"/>
    <w:rsid w:val="00EF34E8"/>
    <w:rsid w:val="00EF35A6"/>
    <w:rsid w:val="00EF3734"/>
    <w:rsid w:val="00EF3E27"/>
    <w:rsid w:val="00EF4109"/>
    <w:rsid w:val="00EF412D"/>
    <w:rsid w:val="00EF41F3"/>
    <w:rsid w:val="00EF4317"/>
    <w:rsid w:val="00EF4600"/>
    <w:rsid w:val="00EF4C8A"/>
    <w:rsid w:val="00EF51E9"/>
    <w:rsid w:val="00EF5604"/>
    <w:rsid w:val="00EF579F"/>
    <w:rsid w:val="00EF5863"/>
    <w:rsid w:val="00EF5885"/>
    <w:rsid w:val="00EF5ABD"/>
    <w:rsid w:val="00EF5B58"/>
    <w:rsid w:val="00EF614F"/>
    <w:rsid w:val="00EF6164"/>
    <w:rsid w:val="00EF62D4"/>
    <w:rsid w:val="00EF6735"/>
    <w:rsid w:val="00EF6CA4"/>
    <w:rsid w:val="00EF6D6C"/>
    <w:rsid w:val="00EF6DA1"/>
    <w:rsid w:val="00EF6FD5"/>
    <w:rsid w:val="00EF7091"/>
    <w:rsid w:val="00EF72F1"/>
    <w:rsid w:val="00EF79BA"/>
    <w:rsid w:val="00EF7DA6"/>
    <w:rsid w:val="00F001A1"/>
    <w:rsid w:val="00F00488"/>
    <w:rsid w:val="00F00493"/>
    <w:rsid w:val="00F00E96"/>
    <w:rsid w:val="00F00FB8"/>
    <w:rsid w:val="00F010FD"/>
    <w:rsid w:val="00F01403"/>
    <w:rsid w:val="00F01587"/>
    <w:rsid w:val="00F01A2F"/>
    <w:rsid w:val="00F01E9D"/>
    <w:rsid w:val="00F02275"/>
    <w:rsid w:val="00F027E8"/>
    <w:rsid w:val="00F027EB"/>
    <w:rsid w:val="00F029C9"/>
    <w:rsid w:val="00F02B9B"/>
    <w:rsid w:val="00F02E36"/>
    <w:rsid w:val="00F02ED6"/>
    <w:rsid w:val="00F02EF8"/>
    <w:rsid w:val="00F03185"/>
    <w:rsid w:val="00F034DF"/>
    <w:rsid w:val="00F035EC"/>
    <w:rsid w:val="00F03981"/>
    <w:rsid w:val="00F03A71"/>
    <w:rsid w:val="00F03D40"/>
    <w:rsid w:val="00F042D4"/>
    <w:rsid w:val="00F047EF"/>
    <w:rsid w:val="00F04912"/>
    <w:rsid w:val="00F04B66"/>
    <w:rsid w:val="00F0543C"/>
    <w:rsid w:val="00F05B89"/>
    <w:rsid w:val="00F05D7B"/>
    <w:rsid w:val="00F05E62"/>
    <w:rsid w:val="00F06367"/>
    <w:rsid w:val="00F064F9"/>
    <w:rsid w:val="00F06650"/>
    <w:rsid w:val="00F067B2"/>
    <w:rsid w:val="00F06963"/>
    <w:rsid w:val="00F06AE2"/>
    <w:rsid w:val="00F07306"/>
    <w:rsid w:val="00F0763D"/>
    <w:rsid w:val="00F07AD1"/>
    <w:rsid w:val="00F07BE4"/>
    <w:rsid w:val="00F07D75"/>
    <w:rsid w:val="00F07DA1"/>
    <w:rsid w:val="00F10039"/>
    <w:rsid w:val="00F101CA"/>
    <w:rsid w:val="00F109F9"/>
    <w:rsid w:val="00F10B11"/>
    <w:rsid w:val="00F10D9F"/>
    <w:rsid w:val="00F10DE4"/>
    <w:rsid w:val="00F10E7C"/>
    <w:rsid w:val="00F10FFC"/>
    <w:rsid w:val="00F111BE"/>
    <w:rsid w:val="00F11365"/>
    <w:rsid w:val="00F11497"/>
    <w:rsid w:val="00F11664"/>
    <w:rsid w:val="00F11665"/>
    <w:rsid w:val="00F118BB"/>
    <w:rsid w:val="00F11B5F"/>
    <w:rsid w:val="00F1219F"/>
    <w:rsid w:val="00F12365"/>
    <w:rsid w:val="00F12567"/>
    <w:rsid w:val="00F125A0"/>
    <w:rsid w:val="00F1271E"/>
    <w:rsid w:val="00F12A4C"/>
    <w:rsid w:val="00F12EBA"/>
    <w:rsid w:val="00F13383"/>
    <w:rsid w:val="00F138B3"/>
    <w:rsid w:val="00F13941"/>
    <w:rsid w:val="00F13A25"/>
    <w:rsid w:val="00F13B37"/>
    <w:rsid w:val="00F13D88"/>
    <w:rsid w:val="00F13DB2"/>
    <w:rsid w:val="00F13FD5"/>
    <w:rsid w:val="00F141DF"/>
    <w:rsid w:val="00F14556"/>
    <w:rsid w:val="00F1455A"/>
    <w:rsid w:val="00F14BE1"/>
    <w:rsid w:val="00F14EFD"/>
    <w:rsid w:val="00F15187"/>
    <w:rsid w:val="00F15426"/>
    <w:rsid w:val="00F154BC"/>
    <w:rsid w:val="00F159ED"/>
    <w:rsid w:val="00F15D17"/>
    <w:rsid w:val="00F15D5A"/>
    <w:rsid w:val="00F164D3"/>
    <w:rsid w:val="00F165AB"/>
    <w:rsid w:val="00F167DC"/>
    <w:rsid w:val="00F167E0"/>
    <w:rsid w:val="00F1685D"/>
    <w:rsid w:val="00F17C7A"/>
    <w:rsid w:val="00F17EE4"/>
    <w:rsid w:val="00F17F54"/>
    <w:rsid w:val="00F201A4"/>
    <w:rsid w:val="00F202C2"/>
    <w:rsid w:val="00F20355"/>
    <w:rsid w:val="00F205DA"/>
    <w:rsid w:val="00F2065B"/>
    <w:rsid w:val="00F206E5"/>
    <w:rsid w:val="00F20BC4"/>
    <w:rsid w:val="00F20D62"/>
    <w:rsid w:val="00F2100E"/>
    <w:rsid w:val="00F21018"/>
    <w:rsid w:val="00F21252"/>
    <w:rsid w:val="00F2125B"/>
    <w:rsid w:val="00F214D1"/>
    <w:rsid w:val="00F2163D"/>
    <w:rsid w:val="00F21AD0"/>
    <w:rsid w:val="00F21CA7"/>
    <w:rsid w:val="00F22611"/>
    <w:rsid w:val="00F226AD"/>
    <w:rsid w:val="00F22A19"/>
    <w:rsid w:val="00F22A6A"/>
    <w:rsid w:val="00F22C9F"/>
    <w:rsid w:val="00F22D31"/>
    <w:rsid w:val="00F22D8D"/>
    <w:rsid w:val="00F232BD"/>
    <w:rsid w:val="00F2349F"/>
    <w:rsid w:val="00F23850"/>
    <w:rsid w:val="00F23C09"/>
    <w:rsid w:val="00F23D91"/>
    <w:rsid w:val="00F24241"/>
    <w:rsid w:val="00F24C59"/>
    <w:rsid w:val="00F24F44"/>
    <w:rsid w:val="00F24FEA"/>
    <w:rsid w:val="00F25114"/>
    <w:rsid w:val="00F2528C"/>
    <w:rsid w:val="00F252F8"/>
    <w:rsid w:val="00F253CF"/>
    <w:rsid w:val="00F256B9"/>
    <w:rsid w:val="00F25AFA"/>
    <w:rsid w:val="00F26050"/>
    <w:rsid w:val="00F265D7"/>
    <w:rsid w:val="00F26EFE"/>
    <w:rsid w:val="00F26FB7"/>
    <w:rsid w:val="00F270D7"/>
    <w:rsid w:val="00F271AE"/>
    <w:rsid w:val="00F2758E"/>
    <w:rsid w:val="00F2769F"/>
    <w:rsid w:val="00F2779F"/>
    <w:rsid w:val="00F27963"/>
    <w:rsid w:val="00F27A43"/>
    <w:rsid w:val="00F27ADD"/>
    <w:rsid w:val="00F27AEC"/>
    <w:rsid w:val="00F300FA"/>
    <w:rsid w:val="00F3015A"/>
    <w:rsid w:val="00F30368"/>
    <w:rsid w:val="00F3037F"/>
    <w:rsid w:val="00F30F87"/>
    <w:rsid w:val="00F3137E"/>
    <w:rsid w:val="00F314DC"/>
    <w:rsid w:val="00F3184F"/>
    <w:rsid w:val="00F319A4"/>
    <w:rsid w:val="00F31ED2"/>
    <w:rsid w:val="00F322C9"/>
    <w:rsid w:val="00F32606"/>
    <w:rsid w:val="00F329E6"/>
    <w:rsid w:val="00F32BF4"/>
    <w:rsid w:val="00F32D9C"/>
    <w:rsid w:val="00F32EC9"/>
    <w:rsid w:val="00F32F2F"/>
    <w:rsid w:val="00F331E5"/>
    <w:rsid w:val="00F33973"/>
    <w:rsid w:val="00F33BC3"/>
    <w:rsid w:val="00F3444D"/>
    <w:rsid w:val="00F348E5"/>
    <w:rsid w:val="00F34A74"/>
    <w:rsid w:val="00F34FE9"/>
    <w:rsid w:val="00F354C1"/>
    <w:rsid w:val="00F356B1"/>
    <w:rsid w:val="00F358F1"/>
    <w:rsid w:val="00F359C4"/>
    <w:rsid w:val="00F35AC2"/>
    <w:rsid w:val="00F35B6E"/>
    <w:rsid w:val="00F35C10"/>
    <w:rsid w:val="00F35D96"/>
    <w:rsid w:val="00F35EE8"/>
    <w:rsid w:val="00F361F5"/>
    <w:rsid w:val="00F36214"/>
    <w:rsid w:val="00F362AD"/>
    <w:rsid w:val="00F362DE"/>
    <w:rsid w:val="00F3655D"/>
    <w:rsid w:val="00F36752"/>
    <w:rsid w:val="00F368E3"/>
    <w:rsid w:val="00F36E2D"/>
    <w:rsid w:val="00F36E5A"/>
    <w:rsid w:val="00F37509"/>
    <w:rsid w:val="00F378D6"/>
    <w:rsid w:val="00F378FE"/>
    <w:rsid w:val="00F37AE4"/>
    <w:rsid w:val="00F37AFC"/>
    <w:rsid w:val="00F37D62"/>
    <w:rsid w:val="00F37DCD"/>
    <w:rsid w:val="00F37FBC"/>
    <w:rsid w:val="00F4056B"/>
    <w:rsid w:val="00F4078E"/>
    <w:rsid w:val="00F40BB1"/>
    <w:rsid w:val="00F41204"/>
    <w:rsid w:val="00F41AD9"/>
    <w:rsid w:val="00F41B1E"/>
    <w:rsid w:val="00F41EF8"/>
    <w:rsid w:val="00F421A1"/>
    <w:rsid w:val="00F42667"/>
    <w:rsid w:val="00F4289C"/>
    <w:rsid w:val="00F42B3B"/>
    <w:rsid w:val="00F42CC9"/>
    <w:rsid w:val="00F42CE4"/>
    <w:rsid w:val="00F42CEF"/>
    <w:rsid w:val="00F432EE"/>
    <w:rsid w:val="00F43331"/>
    <w:rsid w:val="00F433FE"/>
    <w:rsid w:val="00F43451"/>
    <w:rsid w:val="00F43804"/>
    <w:rsid w:val="00F4396E"/>
    <w:rsid w:val="00F43D30"/>
    <w:rsid w:val="00F44027"/>
    <w:rsid w:val="00F44049"/>
    <w:rsid w:val="00F44751"/>
    <w:rsid w:val="00F44B33"/>
    <w:rsid w:val="00F44D51"/>
    <w:rsid w:val="00F45363"/>
    <w:rsid w:val="00F4539C"/>
    <w:rsid w:val="00F453EE"/>
    <w:rsid w:val="00F454C1"/>
    <w:rsid w:val="00F454FE"/>
    <w:rsid w:val="00F45546"/>
    <w:rsid w:val="00F4583D"/>
    <w:rsid w:val="00F45B2D"/>
    <w:rsid w:val="00F45B6A"/>
    <w:rsid w:val="00F45D4B"/>
    <w:rsid w:val="00F45F5A"/>
    <w:rsid w:val="00F465B6"/>
    <w:rsid w:val="00F468A2"/>
    <w:rsid w:val="00F469FA"/>
    <w:rsid w:val="00F46A61"/>
    <w:rsid w:val="00F46B2A"/>
    <w:rsid w:val="00F46C57"/>
    <w:rsid w:val="00F46DFD"/>
    <w:rsid w:val="00F47034"/>
    <w:rsid w:val="00F47190"/>
    <w:rsid w:val="00F4731C"/>
    <w:rsid w:val="00F4760F"/>
    <w:rsid w:val="00F476CA"/>
    <w:rsid w:val="00F4797C"/>
    <w:rsid w:val="00F47BB6"/>
    <w:rsid w:val="00F47C47"/>
    <w:rsid w:val="00F47D19"/>
    <w:rsid w:val="00F47D9F"/>
    <w:rsid w:val="00F47DE6"/>
    <w:rsid w:val="00F5016C"/>
    <w:rsid w:val="00F504EE"/>
    <w:rsid w:val="00F506B7"/>
    <w:rsid w:val="00F509AC"/>
    <w:rsid w:val="00F50F2A"/>
    <w:rsid w:val="00F50F4E"/>
    <w:rsid w:val="00F510BF"/>
    <w:rsid w:val="00F512A3"/>
    <w:rsid w:val="00F51773"/>
    <w:rsid w:val="00F51808"/>
    <w:rsid w:val="00F51C05"/>
    <w:rsid w:val="00F51DA2"/>
    <w:rsid w:val="00F5211D"/>
    <w:rsid w:val="00F52437"/>
    <w:rsid w:val="00F52ADC"/>
    <w:rsid w:val="00F52B34"/>
    <w:rsid w:val="00F52F5C"/>
    <w:rsid w:val="00F53CA0"/>
    <w:rsid w:val="00F53CB4"/>
    <w:rsid w:val="00F53DBC"/>
    <w:rsid w:val="00F5411D"/>
    <w:rsid w:val="00F5420F"/>
    <w:rsid w:val="00F544E8"/>
    <w:rsid w:val="00F54606"/>
    <w:rsid w:val="00F5465D"/>
    <w:rsid w:val="00F5466E"/>
    <w:rsid w:val="00F54EEF"/>
    <w:rsid w:val="00F54FAB"/>
    <w:rsid w:val="00F55575"/>
    <w:rsid w:val="00F555B9"/>
    <w:rsid w:val="00F5574A"/>
    <w:rsid w:val="00F55C3C"/>
    <w:rsid w:val="00F561E1"/>
    <w:rsid w:val="00F5673D"/>
    <w:rsid w:val="00F56944"/>
    <w:rsid w:val="00F56B84"/>
    <w:rsid w:val="00F56CDA"/>
    <w:rsid w:val="00F56DCF"/>
    <w:rsid w:val="00F56F4A"/>
    <w:rsid w:val="00F5713F"/>
    <w:rsid w:val="00F571D2"/>
    <w:rsid w:val="00F5736D"/>
    <w:rsid w:val="00F5751F"/>
    <w:rsid w:val="00F5782F"/>
    <w:rsid w:val="00F57B93"/>
    <w:rsid w:val="00F607B0"/>
    <w:rsid w:val="00F60C8F"/>
    <w:rsid w:val="00F60D19"/>
    <w:rsid w:val="00F60D59"/>
    <w:rsid w:val="00F60DE4"/>
    <w:rsid w:val="00F611ED"/>
    <w:rsid w:val="00F612C5"/>
    <w:rsid w:val="00F61349"/>
    <w:rsid w:val="00F613BA"/>
    <w:rsid w:val="00F61410"/>
    <w:rsid w:val="00F615BF"/>
    <w:rsid w:val="00F61D1B"/>
    <w:rsid w:val="00F61D39"/>
    <w:rsid w:val="00F61DC2"/>
    <w:rsid w:val="00F62030"/>
    <w:rsid w:val="00F622DE"/>
    <w:rsid w:val="00F6231F"/>
    <w:rsid w:val="00F6251B"/>
    <w:rsid w:val="00F62637"/>
    <w:rsid w:val="00F62692"/>
    <w:rsid w:val="00F62F34"/>
    <w:rsid w:val="00F63000"/>
    <w:rsid w:val="00F631BF"/>
    <w:rsid w:val="00F632FD"/>
    <w:rsid w:val="00F63A25"/>
    <w:rsid w:val="00F63F0A"/>
    <w:rsid w:val="00F64102"/>
    <w:rsid w:val="00F644F8"/>
    <w:rsid w:val="00F64EE6"/>
    <w:rsid w:val="00F64FAE"/>
    <w:rsid w:val="00F650F8"/>
    <w:rsid w:val="00F6528A"/>
    <w:rsid w:val="00F653DC"/>
    <w:rsid w:val="00F65F2B"/>
    <w:rsid w:val="00F6649F"/>
    <w:rsid w:val="00F665D4"/>
    <w:rsid w:val="00F6670F"/>
    <w:rsid w:val="00F66B86"/>
    <w:rsid w:val="00F66CCC"/>
    <w:rsid w:val="00F672AB"/>
    <w:rsid w:val="00F676CB"/>
    <w:rsid w:val="00F67E70"/>
    <w:rsid w:val="00F70056"/>
    <w:rsid w:val="00F70396"/>
    <w:rsid w:val="00F704B2"/>
    <w:rsid w:val="00F70836"/>
    <w:rsid w:val="00F70A53"/>
    <w:rsid w:val="00F70D18"/>
    <w:rsid w:val="00F70E02"/>
    <w:rsid w:val="00F71166"/>
    <w:rsid w:val="00F7138E"/>
    <w:rsid w:val="00F713CE"/>
    <w:rsid w:val="00F7183A"/>
    <w:rsid w:val="00F71CA3"/>
    <w:rsid w:val="00F71F18"/>
    <w:rsid w:val="00F72265"/>
    <w:rsid w:val="00F7272D"/>
    <w:rsid w:val="00F72DC3"/>
    <w:rsid w:val="00F735A8"/>
    <w:rsid w:val="00F73656"/>
    <w:rsid w:val="00F7436D"/>
    <w:rsid w:val="00F74788"/>
    <w:rsid w:val="00F74A41"/>
    <w:rsid w:val="00F74AFB"/>
    <w:rsid w:val="00F74F25"/>
    <w:rsid w:val="00F7544A"/>
    <w:rsid w:val="00F7544F"/>
    <w:rsid w:val="00F7546E"/>
    <w:rsid w:val="00F7557A"/>
    <w:rsid w:val="00F75792"/>
    <w:rsid w:val="00F759F1"/>
    <w:rsid w:val="00F75A57"/>
    <w:rsid w:val="00F75CE0"/>
    <w:rsid w:val="00F75E25"/>
    <w:rsid w:val="00F765B8"/>
    <w:rsid w:val="00F767F4"/>
    <w:rsid w:val="00F76C5A"/>
    <w:rsid w:val="00F76D42"/>
    <w:rsid w:val="00F76E5B"/>
    <w:rsid w:val="00F76FEE"/>
    <w:rsid w:val="00F7768E"/>
    <w:rsid w:val="00F77C69"/>
    <w:rsid w:val="00F80A0E"/>
    <w:rsid w:val="00F80A27"/>
    <w:rsid w:val="00F80AE2"/>
    <w:rsid w:val="00F80CE2"/>
    <w:rsid w:val="00F80E5B"/>
    <w:rsid w:val="00F80E67"/>
    <w:rsid w:val="00F80F15"/>
    <w:rsid w:val="00F8175F"/>
    <w:rsid w:val="00F81D13"/>
    <w:rsid w:val="00F820A1"/>
    <w:rsid w:val="00F82302"/>
    <w:rsid w:val="00F8253C"/>
    <w:rsid w:val="00F82ADE"/>
    <w:rsid w:val="00F82E53"/>
    <w:rsid w:val="00F82EEC"/>
    <w:rsid w:val="00F8321B"/>
    <w:rsid w:val="00F83274"/>
    <w:rsid w:val="00F832E3"/>
    <w:rsid w:val="00F8342F"/>
    <w:rsid w:val="00F837C0"/>
    <w:rsid w:val="00F838BC"/>
    <w:rsid w:val="00F83985"/>
    <w:rsid w:val="00F83BAD"/>
    <w:rsid w:val="00F83E65"/>
    <w:rsid w:val="00F8432D"/>
    <w:rsid w:val="00F8451D"/>
    <w:rsid w:val="00F8477B"/>
    <w:rsid w:val="00F84A2A"/>
    <w:rsid w:val="00F84F40"/>
    <w:rsid w:val="00F85012"/>
    <w:rsid w:val="00F85750"/>
    <w:rsid w:val="00F85964"/>
    <w:rsid w:val="00F85F08"/>
    <w:rsid w:val="00F86113"/>
    <w:rsid w:val="00F8612B"/>
    <w:rsid w:val="00F8652A"/>
    <w:rsid w:val="00F868A2"/>
    <w:rsid w:val="00F86E3B"/>
    <w:rsid w:val="00F86FC1"/>
    <w:rsid w:val="00F871FE"/>
    <w:rsid w:val="00F8731F"/>
    <w:rsid w:val="00F87554"/>
    <w:rsid w:val="00F877BA"/>
    <w:rsid w:val="00F8783F"/>
    <w:rsid w:val="00F87AD4"/>
    <w:rsid w:val="00F87D18"/>
    <w:rsid w:val="00F90456"/>
    <w:rsid w:val="00F904EA"/>
    <w:rsid w:val="00F909F8"/>
    <w:rsid w:val="00F90B00"/>
    <w:rsid w:val="00F90ED5"/>
    <w:rsid w:val="00F90EE4"/>
    <w:rsid w:val="00F91336"/>
    <w:rsid w:val="00F915D5"/>
    <w:rsid w:val="00F9168A"/>
    <w:rsid w:val="00F91B7C"/>
    <w:rsid w:val="00F91C86"/>
    <w:rsid w:val="00F9220E"/>
    <w:rsid w:val="00F92337"/>
    <w:rsid w:val="00F9235F"/>
    <w:rsid w:val="00F9242C"/>
    <w:rsid w:val="00F92563"/>
    <w:rsid w:val="00F925F5"/>
    <w:rsid w:val="00F92BE7"/>
    <w:rsid w:val="00F92C58"/>
    <w:rsid w:val="00F92D76"/>
    <w:rsid w:val="00F935DE"/>
    <w:rsid w:val="00F9365C"/>
    <w:rsid w:val="00F93772"/>
    <w:rsid w:val="00F93C3B"/>
    <w:rsid w:val="00F93ECA"/>
    <w:rsid w:val="00F93FA4"/>
    <w:rsid w:val="00F94011"/>
    <w:rsid w:val="00F9443B"/>
    <w:rsid w:val="00F94D32"/>
    <w:rsid w:val="00F94E39"/>
    <w:rsid w:val="00F955AC"/>
    <w:rsid w:val="00F95C1D"/>
    <w:rsid w:val="00F95F49"/>
    <w:rsid w:val="00F95F4F"/>
    <w:rsid w:val="00F96150"/>
    <w:rsid w:val="00F96182"/>
    <w:rsid w:val="00F96308"/>
    <w:rsid w:val="00F9639F"/>
    <w:rsid w:val="00F966E3"/>
    <w:rsid w:val="00F966F6"/>
    <w:rsid w:val="00F96737"/>
    <w:rsid w:val="00F96EC2"/>
    <w:rsid w:val="00F97694"/>
    <w:rsid w:val="00F97A99"/>
    <w:rsid w:val="00F97B10"/>
    <w:rsid w:val="00FA0070"/>
    <w:rsid w:val="00FA0221"/>
    <w:rsid w:val="00FA0B82"/>
    <w:rsid w:val="00FA0BE1"/>
    <w:rsid w:val="00FA0C00"/>
    <w:rsid w:val="00FA0D9E"/>
    <w:rsid w:val="00FA100F"/>
    <w:rsid w:val="00FA128A"/>
    <w:rsid w:val="00FA12A6"/>
    <w:rsid w:val="00FA14D2"/>
    <w:rsid w:val="00FA15AD"/>
    <w:rsid w:val="00FA1658"/>
    <w:rsid w:val="00FA189F"/>
    <w:rsid w:val="00FA1A8F"/>
    <w:rsid w:val="00FA2049"/>
    <w:rsid w:val="00FA2086"/>
    <w:rsid w:val="00FA24C8"/>
    <w:rsid w:val="00FA26BF"/>
    <w:rsid w:val="00FA35BC"/>
    <w:rsid w:val="00FA376F"/>
    <w:rsid w:val="00FA4007"/>
    <w:rsid w:val="00FA4980"/>
    <w:rsid w:val="00FA4E60"/>
    <w:rsid w:val="00FA4F4E"/>
    <w:rsid w:val="00FA5320"/>
    <w:rsid w:val="00FA5641"/>
    <w:rsid w:val="00FA5D85"/>
    <w:rsid w:val="00FA6040"/>
    <w:rsid w:val="00FA6593"/>
    <w:rsid w:val="00FA67FF"/>
    <w:rsid w:val="00FA6866"/>
    <w:rsid w:val="00FA6AC5"/>
    <w:rsid w:val="00FA6F88"/>
    <w:rsid w:val="00FA7139"/>
    <w:rsid w:val="00FA71B0"/>
    <w:rsid w:val="00FA725D"/>
    <w:rsid w:val="00FA7377"/>
    <w:rsid w:val="00FA76F2"/>
    <w:rsid w:val="00FA78F3"/>
    <w:rsid w:val="00FA7D31"/>
    <w:rsid w:val="00FA7EF1"/>
    <w:rsid w:val="00FB05AC"/>
    <w:rsid w:val="00FB07C8"/>
    <w:rsid w:val="00FB0A4F"/>
    <w:rsid w:val="00FB0DBB"/>
    <w:rsid w:val="00FB1055"/>
    <w:rsid w:val="00FB1075"/>
    <w:rsid w:val="00FB1127"/>
    <w:rsid w:val="00FB14B1"/>
    <w:rsid w:val="00FB1749"/>
    <w:rsid w:val="00FB1AAD"/>
    <w:rsid w:val="00FB1C3B"/>
    <w:rsid w:val="00FB20BE"/>
    <w:rsid w:val="00FB24F7"/>
    <w:rsid w:val="00FB2829"/>
    <w:rsid w:val="00FB295A"/>
    <w:rsid w:val="00FB3095"/>
    <w:rsid w:val="00FB3611"/>
    <w:rsid w:val="00FB37A6"/>
    <w:rsid w:val="00FB3996"/>
    <w:rsid w:val="00FB400E"/>
    <w:rsid w:val="00FB4249"/>
    <w:rsid w:val="00FB4396"/>
    <w:rsid w:val="00FB44ED"/>
    <w:rsid w:val="00FB479F"/>
    <w:rsid w:val="00FB4B22"/>
    <w:rsid w:val="00FB4B25"/>
    <w:rsid w:val="00FB5025"/>
    <w:rsid w:val="00FB5223"/>
    <w:rsid w:val="00FB5518"/>
    <w:rsid w:val="00FB610F"/>
    <w:rsid w:val="00FB6621"/>
    <w:rsid w:val="00FB68A9"/>
    <w:rsid w:val="00FB6934"/>
    <w:rsid w:val="00FB6FA3"/>
    <w:rsid w:val="00FB710E"/>
    <w:rsid w:val="00FB7286"/>
    <w:rsid w:val="00FB74CD"/>
    <w:rsid w:val="00FB763B"/>
    <w:rsid w:val="00FB7781"/>
    <w:rsid w:val="00FC0555"/>
    <w:rsid w:val="00FC085B"/>
    <w:rsid w:val="00FC091C"/>
    <w:rsid w:val="00FC0DF3"/>
    <w:rsid w:val="00FC121C"/>
    <w:rsid w:val="00FC12CE"/>
    <w:rsid w:val="00FC1454"/>
    <w:rsid w:val="00FC18A1"/>
    <w:rsid w:val="00FC19F8"/>
    <w:rsid w:val="00FC1B13"/>
    <w:rsid w:val="00FC1CEC"/>
    <w:rsid w:val="00FC298E"/>
    <w:rsid w:val="00FC2C33"/>
    <w:rsid w:val="00FC312D"/>
    <w:rsid w:val="00FC361D"/>
    <w:rsid w:val="00FC39A1"/>
    <w:rsid w:val="00FC3D64"/>
    <w:rsid w:val="00FC4162"/>
    <w:rsid w:val="00FC422B"/>
    <w:rsid w:val="00FC4488"/>
    <w:rsid w:val="00FC45F3"/>
    <w:rsid w:val="00FC4AA7"/>
    <w:rsid w:val="00FC5255"/>
    <w:rsid w:val="00FC52B9"/>
    <w:rsid w:val="00FC5831"/>
    <w:rsid w:val="00FC5897"/>
    <w:rsid w:val="00FC59CC"/>
    <w:rsid w:val="00FC5B68"/>
    <w:rsid w:val="00FC5DB4"/>
    <w:rsid w:val="00FC5F95"/>
    <w:rsid w:val="00FC6111"/>
    <w:rsid w:val="00FC6686"/>
    <w:rsid w:val="00FC6773"/>
    <w:rsid w:val="00FC6AAC"/>
    <w:rsid w:val="00FC6EA3"/>
    <w:rsid w:val="00FC7371"/>
    <w:rsid w:val="00FC750B"/>
    <w:rsid w:val="00FC75B1"/>
    <w:rsid w:val="00FC7B3A"/>
    <w:rsid w:val="00FC7E98"/>
    <w:rsid w:val="00FC7FB8"/>
    <w:rsid w:val="00FD01C5"/>
    <w:rsid w:val="00FD03BE"/>
    <w:rsid w:val="00FD03D5"/>
    <w:rsid w:val="00FD053B"/>
    <w:rsid w:val="00FD060B"/>
    <w:rsid w:val="00FD0797"/>
    <w:rsid w:val="00FD0A27"/>
    <w:rsid w:val="00FD0BB0"/>
    <w:rsid w:val="00FD0DBD"/>
    <w:rsid w:val="00FD0F7B"/>
    <w:rsid w:val="00FD13CF"/>
    <w:rsid w:val="00FD13D1"/>
    <w:rsid w:val="00FD1424"/>
    <w:rsid w:val="00FD15BF"/>
    <w:rsid w:val="00FD1BBD"/>
    <w:rsid w:val="00FD24CE"/>
    <w:rsid w:val="00FD289C"/>
    <w:rsid w:val="00FD2A4C"/>
    <w:rsid w:val="00FD2A4F"/>
    <w:rsid w:val="00FD32D5"/>
    <w:rsid w:val="00FD337E"/>
    <w:rsid w:val="00FD3738"/>
    <w:rsid w:val="00FD3812"/>
    <w:rsid w:val="00FD3BAC"/>
    <w:rsid w:val="00FD3E09"/>
    <w:rsid w:val="00FD40F9"/>
    <w:rsid w:val="00FD452E"/>
    <w:rsid w:val="00FD4875"/>
    <w:rsid w:val="00FD550F"/>
    <w:rsid w:val="00FD56E6"/>
    <w:rsid w:val="00FD576F"/>
    <w:rsid w:val="00FD5AE5"/>
    <w:rsid w:val="00FD5D48"/>
    <w:rsid w:val="00FD5D8F"/>
    <w:rsid w:val="00FD5E6B"/>
    <w:rsid w:val="00FD5F40"/>
    <w:rsid w:val="00FD5F48"/>
    <w:rsid w:val="00FD5F55"/>
    <w:rsid w:val="00FD6450"/>
    <w:rsid w:val="00FD6537"/>
    <w:rsid w:val="00FD669F"/>
    <w:rsid w:val="00FD6E1D"/>
    <w:rsid w:val="00FD734D"/>
    <w:rsid w:val="00FD7417"/>
    <w:rsid w:val="00FD76EC"/>
    <w:rsid w:val="00FD7D27"/>
    <w:rsid w:val="00FE029C"/>
    <w:rsid w:val="00FE05B5"/>
    <w:rsid w:val="00FE0672"/>
    <w:rsid w:val="00FE0838"/>
    <w:rsid w:val="00FE0B4E"/>
    <w:rsid w:val="00FE0C49"/>
    <w:rsid w:val="00FE0C78"/>
    <w:rsid w:val="00FE0CD7"/>
    <w:rsid w:val="00FE1025"/>
    <w:rsid w:val="00FE1120"/>
    <w:rsid w:val="00FE1491"/>
    <w:rsid w:val="00FE14FE"/>
    <w:rsid w:val="00FE1577"/>
    <w:rsid w:val="00FE15E1"/>
    <w:rsid w:val="00FE16A9"/>
    <w:rsid w:val="00FE1CE4"/>
    <w:rsid w:val="00FE1EF6"/>
    <w:rsid w:val="00FE1FE0"/>
    <w:rsid w:val="00FE21A2"/>
    <w:rsid w:val="00FE22B0"/>
    <w:rsid w:val="00FE23A9"/>
    <w:rsid w:val="00FE28A1"/>
    <w:rsid w:val="00FE29FC"/>
    <w:rsid w:val="00FE2DCD"/>
    <w:rsid w:val="00FE2EDA"/>
    <w:rsid w:val="00FE3175"/>
    <w:rsid w:val="00FE31ED"/>
    <w:rsid w:val="00FE35DD"/>
    <w:rsid w:val="00FE39A3"/>
    <w:rsid w:val="00FE3B3B"/>
    <w:rsid w:val="00FE3D23"/>
    <w:rsid w:val="00FE3E5E"/>
    <w:rsid w:val="00FE421C"/>
    <w:rsid w:val="00FE4455"/>
    <w:rsid w:val="00FE44E9"/>
    <w:rsid w:val="00FE48A3"/>
    <w:rsid w:val="00FE4AD4"/>
    <w:rsid w:val="00FE4C5D"/>
    <w:rsid w:val="00FE4D52"/>
    <w:rsid w:val="00FE5AF8"/>
    <w:rsid w:val="00FE5B11"/>
    <w:rsid w:val="00FE5B33"/>
    <w:rsid w:val="00FE5FE9"/>
    <w:rsid w:val="00FE60BA"/>
    <w:rsid w:val="00FE6643"/>
    <w:rsid w:val="00FE66CC"/>
    <w:rsid w:val="00FE673C"/>
    <w:rsid w:val="00FE69E2"/>
    <w:rsid w:val="00FE6CDB"/>
    <w:rsid w:val="00FE7185"/>
    <w:rsid w:val="00FE752A"/>
    <w:rsid w:val="00FE76D4"/>
    <w:rsid w:val="00FE7A98"/>
    <w:rsid w:val="00FE7F65"/>
    <w:rsid w:val="00FF04BB"/>
    <w:rsid w:val="00FF061F"/>
    <w:rsid w:val="00FF0728"/>
    <w:rsid w:val="00FF0939"/>
    <w:rsid w:val="00FF1110"/>
    <w:rsid w:val="00FF1166"/>
    <w:rsid w:val="00FF1727"/>
    <w:rsid w:val="00FF1C21"/>
    <w:rsid w:val="00FF1D75"/>
    <w:rsid w:val="00FF1ECC"/>
    <w:rsid w:val="00FF2420"/>
    <w:rsid w:val="00FF2537"/>
    <w:rsid w:val="00FF2582"/>
    <w:rsid w:val="00FF2ADC"/>
    <w:rsid w:val="00FF2B37"/>
    <w:rsid w:val="00FF2C07"/>
    <w:rsid w:val="00FF2E2D"/>
    <w:rsid w:val="00FF2E50"/>
    <w:rsid w:val="00FF2F28"/>
    <w:rsid w:val="00FF2F49"/>
    <w:rsid w:val="00FF3198"/>
    <w:rsid w:val="00FF31BD"/>
    <w:rsid w:val="00FF32B9"/>
    <w:rsid w:val="00FF3317"/>
    <w:rsid w:val="00FF36AF"/>
    <w:rsid w:val="00FF37A6"/>
    <w:rsid w:val="00FF3844"/>
    <w:rsid w:val="00FF398F"/>
    <w:rsid w:val="00FF43EC"/>
    <w:rsid w:val="00FF4870"/>
    <w:rsid w:val="00FF48CC"/>
    <w:rsid w:val="00FF49F3"/>
    <w:rsid w:val="00FF4CA0"/>
    <w:rsid w:val="00FF4CAC"/>
    <w:rsid w:val="00FF507D"/>
    <w:rsid w:val="00FF53FD"/>
    <w:rsid w:val="00FF573A"/>
    <w:rsid w:val="00FF5C5A"/>
    <w:rsid w:val="00FF629B"/>
    <w:rsid w:val="00FF6989"/>
    <w:rsid w:val="00FF6A68"/>
    <w:rsid w:val="00FF6CC7"/>
    <w:rsid w:val="00FF6FD3"/>
    <w:rsid w:val="00FF70C4"/>
    <w:rsid w:val="00FF72A6"/>
    <w:rsid w:val="00FF7393"/>
    <w:rsid w:val="00FF7396"/>
    <w:rsid w:val="00FF7750"/>
    <w:rsid w:val="00FF7789"/>
    <w:rsid w:val="00FF77AF"/>
    <w:rsid w:val="00FF7B1C"/>
    <w:rsid w:val="01EF163D"/>
    <w:rsid w:val="0499A9FF"/>
    <w:rsid w:val="05EF4031"/>
    <w:rsid w:val="062B404B"/>
    <w:rsid w:val="085B0028"/>
    <w:rsid w:val="08B5F8DE"/>
    <w:rsid w:val="08CDDD27"/>
    <w:rsid w:val="0B4D4554"/>
    <w:rsid w:val="0C0225CB"/>
    <w:rsid w:val="0E4E2D3D"/>
    <w:rsid w:val="0E7D5E32"/>
    <w:rsid w:val="0E7DF5AA"/>
    <w:rsid w:val="0FCD790E"/>
    <w:rsid w:val="10B22C39"/>
    <w:rsid w:val="122AACAC"/>
    <w:rsid w:val="126A8893"/>
    <w:rsid w:val="1710B39E"/>
    <w:rsid w:val="18227A10"/>
    <w:rsid w:val="18420B50"/>
    <w:rsid w:val="18854D71"/>
    <w:rsid w:val="1AA5D351"/>
    <w:rsid w:val="1AD584FD"/>
    <w:rsid w:val="1B43E317"/>
    <w:rsid w:val="1E39707E"/>
    <w:rsid w:val="2181F8C3"/>
    <w:rsid w:val="246B9BEF"/>
    <w:rsid w:val="2585E9AC"/>
    <w:rsid w:val="26FF1AAA"/>
    <w:rsid w:val="270274A9"/>
    <w:rsid w:val="27033B2C"/>
    <w:rsid w:val="29B58462"/>
    <w:rsid w:val="2B75D7E3"/>
    <w:rsid w:val="2C28B608"/>
    <w:rsid w:val="2C8AA61D"/>
    <w:rsid w:val="2C92D8A7"/>
    <w:rsid w:val="30105949"/>
    <w:rsid w:val="323D6BE3"/>
    <w:rsid w:val="32A3E7B1"/>
    <w:rsid w:val="33037F4E"/>
    <w:rsid w:val="33ED77C3"/>
    <w:rsid w:val="360E4FB5"/>
    <w:rsid w:val="36F750BA"/>
    <w:rsid w:val="373C7A7A"/>
    <w:rsid w:val="37E22A08"/>
    <w:rsid w:val="3B4DEB89"/>
    <w:rsid w:val="3C24F7D5"/>
    <w:rsid w:val="3C4AC9F7"/>
    <w:rsid w:val="3D2B21E7"/>
    <w:rsid w:val="3F23A8C7"/>
    <w:rsid w:val="4076D52C"/>
    <w:rsid w:val="40C387E6"/>
    <w:rsid w:val="414D967C"/>
    <w:rsid w:val="4210E60E"/>
    <w:rsid w:val="429EBD7F"/>
    <w:rsid w:val="4527E062"/>
    <w:rsid w:val="458D0A33"/>
    <w:rsid w:val="45CC794A"/>
    <w:rsid w:val="4648BFE2"/>
    <w:rsid w:val="47F09418"/>
    <w:rsid w:val="48792035"/>
    <w:rsid w:val="489E6302"/>
    <w:rsid w:val="48CD26EC"/>
    <w:rsid w:val="4D8AAB09"/>
    <w:rsid w:val="4D8F2A67"/>
    <w:rsid w:val="4ECF395C"/>
    <w:rsid w:val="505F027B"/>
    <w:rsid w:val="5069F8BB"/>
    <w:rsid w:val="50A0BA1D"/>
    <w:rsid w:val="514A6013"/>
    <w:rsid w:val="51598309"/>
    <w:rsid w:val="51827536"/>
    <w:rsid w:val="53C2F619"/>
    <w:rsid w:val="54CCB940"/>
    <w:rsid w:val="57301860"/>
    <w:rsid w:val="57DFAEAD"/>
    <w:rsid w:val="595DE66C"/>
    <w:rsid w:val="59AE7B0A"/>
    <w:rsid w:val="5A7E839F"/>
    <w:rsid w:val="5BD3C97A"/>
    <w:rsid w:val="5C127AA3"/>
    <w:rsid w:val="5C9CC7BE"/>
    <w:rsid w:val="5D6A645D"/>
    <w:rsid w:val="5FEA291A"/>
    <w:rsid w:val="60977ACD"/>
    <w:rsid w:val="626A80BA"/>
    <w:rsid w:val="62DC6155"/>
    <w:rsid w:val="62EE6E30"/>
    <w:rsid w:val="669ED723"/>
    <w:rsid w:val="6835DCAB"/>
    <w:rsid w:val="689B7B5F"/>
    <w:rsid w:val="692440F3"/>
    <w:rsid w:val="6933838C"/>
    <w:rsid w:val="6963BC65"/>
    <w:rsid w:val="6C36D1B9"/>
    <w:rsid w:val="6E907DE6"/>
    <w:rsid w:val="6F12B10F"/>
    <w:rsid w:val="70AE9CF3"/>
    <w:rsid w:val="70E83762"/>
    <w:rsid w:val="7136DABC"/>
    <w:rsid w:val="71E87AC3"/>
    <w:rsid w:val="73655A7E"/>
    <w:rsid w:val="740358D1"/>
    <w:rsid w:val="7525CC80"/>
    <w:rsid w:val="76744E62"/>
    <w:rsid w:val="76E6A234"/>
    <w:rsid w:val="7E3C4084"/>
    <w:rsid w:val="7E4063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0D82287"/>
  <w15:chartTrackingRefBased/>
  <w15:docId w15:val="{8CA8A46A-9817-442A-A636-6855B53C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24"/>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link w:val="HeadingBaseChar"/>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E73D9C"/>
    <w:rPr>
      <w:bCs/>
      <w:color w:val="002A54" w:themeColor="text2"/>
      <w:szCs w:val="52"/>
    </w:r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basedOn w:val="Normal"/>
    <w:link w:val="BulletChar"/>
    <w:qFormat/>
    <w:rsid w:val="00160928"/>
    <w:pPr>
      <w:numPr>
        <w:numId w:val="3"/>
      </w:numPr>
      <w:spacing w:after="160"/>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link w:val="ChartandTableFootnoteChar"/>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7913DD"/>
    <w:pPr>
      <w:keepNext w:val="0"/>
      <w:numPr>
        <w:numId w:val="5"/>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5A6F5F"/>
    <w:rPr>
      <w:sz w:val="20"/>
    </w:rPr>
  </w:style>
  <w:style w:type="paragraph" w:customStyle="1" w:styleId="TableLine">
    <w:name w:val="Table Line"/>
    <w:basedOn w:val="Normal"/>
    <w:next w:val="Normal"/>
    <w:autoRedefine/>
    <w:rsid w:val="00EB6597"/>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EB6597"/>
    <w:pPr>
      <w:spacing w:after="60"/>
    </w:pPr>
    <w:rPr>
      <w:sz w:val="19"/>
    </w:rPr>
  </w:style>
  <w:style w:type="character" w:styleId="CommentReference">
    <w:name w:val="annotation reference"/>
    <w:basedOn w:val="DefaultParagraphFont"/>
    <w:uiPriority w:val="99"/>
    <w:semiHidden/>
    <w:rsid w:val="00BB207D"/>
    <w:rPr>
      <w:sz w:val="16"/>
      <w:szCs w:val="16"/>
    </w:rPr>
  </w:style>
  <w:style w:type="paragraph" w:styleId="CommentText">
    <w:name w:val="annotation text"/>
    <w:basedOn w:val="Normal"/>
    <w:link w:val="CommentTextChar"/>
    <w:uiPriority w:val="99"/>
    <w:rsid w:val="00BB207D"/>
  </w:style>
  <w:style w:type="character" w:customStyle="1" w:styleId="CommentTextChar">
    <w:name w:val="Comment Text Char"/>
    <w:basedOn w:val="DefaultParagraphFont"/>
    <w:link w:val="CommentText"/>
    <w:uiPriority w:val="99"/>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08597F"/>
    <w:rPr>
      <w:b/>
      <w:bCs/>
      <w:color w:val="002A54" w:themeColor="text2"/>
    </w:rPr>
  </w:style>
  <w:style w:type="paragraph" w:customStyle="1" w:styleId="Dash">
    <w:name w:val="Dash"/>
    <w:basedOn w:val="Normal"/>
    <w:link w:val="DashChar"/>
    <w:qFormat/>
    <w:rsid w:val="00BB207D"/>
    <w:pPr>
      <w:numPr>
        <w:ilvl w:val="1"/>
        <w:numId w:val="4"/>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4"/>
      </w:numPr>
      <w:tabs>
        <w:tab w:val="clear" w:pos="850"/>
        <w:tab w:val="num" w:pos="360"/>
        <w:tab w:val="left" w:pos="851"/>
      </w:tabs>
    </w:p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uiPriority w:val="99"/>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E404C5"/>
    <w:pPr>
      <w:spacing w:before="0" w:after="0"/>
    </w:p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5456B8"/>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paragraph" w:customStyle="1" w:styleId="ChartHeading">
    <w:name w:val="Chart Heading"/>
    <w:basedOn w:val="HeadingBase"/>
    <w:next w:val="ChartGraphic"/>
    <w:qFormat/>
    <w:rsid w:val="00D907F8"/>
    <w:pPr>
      <w:spacing w:before="120" w:after="20"/>
    </w:pPr>
    <w:rPr>
      <w:b/>
      <w:sz w:val="20"/>
    </w:rPr>
  </w:style>
  <w:style w:type="character" w:customStyle="1" w:styleId="BulletChar">
    <w:name w:val="Bullet Char"/>
    <w:link w:val="Bullet"/>
    <w:qFormat/>
    <w:locked/>
    <w:rsid w:val="00D907F8"/>
    <w:rPr>
      <w:rFonts w:ascii="Book Antiqua" w:eastAsia="Times New Roman" w:hAnsi="Book Antiqua" w:cs="Times New Roman"/>
      <w:sz w:val="19"/>
      <w:szCs w:val="20"/>
      <w:lang w:eastAsia="en-AU"/>
    </w:rPr>
  </w:style>
  <w:style w:type="paragraph" w:customStyle="1" w:styleId="OutlineNumbered1">
    <w:name w:val="Outline Numbered 1"/>
    <w:basedOn w:val="Normal"/>
    <w:link w:val="OutlineNumbered1Char"/>
    <w:rsid w:val="00D907F8"/>
    <w:pPr>
      <w:numPr>
        <w:numId w:val="6"/>
      </w:numPr>
    </w:pPr>
    <w:rPr>
      <w:rFonts w:asciiTheme="minorHAnsi" w:hAnsiTheme="minorHAnsi"/>
      <w:color w:val="000000"/>
    </w:rPr>
  </w:style>
  <w:style w:type="character" w:customStyle="1" w:styleId="ChartandTableFootnoteChar">
    <w:name w:val="Chart and Table Footnote Char"/>
    <w:basedOn w:val="DefaultParagraphFont"/>
    <w:link w:val="ChartandTableFootnote"/>
    <w:rsid w:val="00D907F8"/>
    <w:rPr>
      <w:rFonts w:ascii="Arial" w:eastAsia="Times New Roman" w:hAnsi="Arial" w:cs="Times New Roman"/>
      <w:color w:val="000000"/>
      <w:sz w:val="16"/>
      <w:szCs w:val="20"/>
      <w:lang w:eastAsia="en-AU"/>
    </w:rPr>
  </w:style>
  <w:style w:type="paragraph" w:customStyle="1" w:styleId="OutlineNumbered2">
    <w:name w:val="Outline Numbered 2"/>
    <w:basedOn w:val="Normal"/>
    <w:link w:val="OutlineNumbered2Char"/>
    <w:rsid w:val="00D907F8"/>
    <w:pPr>
      <w:numPr>
        <w:ilvl w:val="1"/>
        <w:numId w:val="6"/>
      </w:numPr>
    </w:pPr>
    <w:rPr>
      <w:rFonts w:asciiTheme="minorHAnsi" w:hAnsiTheme="minorHAnsi"/>
      <w:color w:val="000000"/>
    </w:rPr>
  </w:style>
  <w:style w:type="paragraph" w:customStyle="1" w:styleId="OutlineNumbered3">
    <w:name w:val="Outline Numbered 3"/>
    <w:basedOn w:val="Normal"/>
    <w:link w:val="OutlineNumbered3Char"/>
    <w:rsid w:val="00D907F8"/>
    <w:pPr>
      <w:numPr>
        <w:ilvl w:val="2"/>
        <w:numId w:val="6"/>
      </w:numPr>
    </w:pPr>
    <w:rPr>
      <w:rFonts w:asciiTheme="minorHAnsi" w:hAnsiTheme="minorHAnsi"/>
      <w:color w:val="000000"/>
    </w:rPr>
  </w:style>
  <w:style w:type="paragraph" w:customStyle="1" w:styleId="StatementWhite">
    <w:name w:val="Statement White"/>
    <w:basedOn w:val="Normal"/>
    <w:autoRedefine/>
    <w:qFormat/>
    <w:rsid w:val="00D907F8"/>
    <w:pPr>
      <w:textboxTightWrap w:val="firstAndLastLine"/>
    </w:pPr>
    <w:rPr>
      <w:rFonts w:asciiTheme="minorHAnsi" w:hAnsiTheme="minorHAnsi" w:cstheme="minorHAnsi"/>
      <w:color w:val="FFFFFF" w:themeColor="background1"/>
      <w:kern w:val="18"/>
      <w:sz w:val="18"/>
      <w:szCs w:val="18"/>
    </w:rPr>
  </w:style>
  <w:style w:type="paragraph" w:customStyle="1" w:styleId="FooterOddWHITE">
    <w:name w:val="Footer Odd WHITE"/>
    <w:basedOn w:val="FooterOdd"/>
    <w:qFormat/>
    <w:rsid w:val="00D907F8"/>
    <w:pPr>
      <w:pBdr>
        <w:top w:val="single" w:sz="4" w:space="10" w:color="FFFFFF" w:themeColor="background1"/>
      </w:pBdr>
    </w:pPr>
    <w:rPr>
      <w:color w:val="FFFFFF" w:themeColor="background1"/>
    </w:rPr>
  </w:style>
  <w:style w:type="paragraph" w:customStyle="1" w:styleId="BoxSubHeading">
    <w:name w:val="Box Sub Heading"/>
    <w:basedOn w:val="Heading6"/>
    <w:rsid w:val="00D907F8"/>
    <w:pPr>
      <w:spacing w:before="120" w:after="40"/>
    </w:pPr>
  </w:style>
  <w:style w:type="character" w:styleId="EndnoteReference">
    <w:name w:val="endnote reference"/>
    <w:basedOn w:val="DefaultParagraphFont"/>
    <w:unhideWhenUsed/>
    <w:rsid w:val="00D907F8"/>
    <w:rPr>
      <w:vertAlign w:val="superscript"/>
    </w:rPr>
  </w:style>
  <w:style w:type="paragraph" w:styleId="EndnoteText">
    <w:name w:val="endnote text"/>
    <w:basedOn w:val="Normal"/>
    <w:link w:val="EndnoteTextChar"/>
    <w:unhideWhenUsed/>
    <w:rsid w:val="00D907F8"/>
    <w:rPr>
      <w:rFonts w:asciiTheme="minorHAnsi" w:hAnsiTheme="minorHAnsi"/>
    </w:rPr>
  </w:style>
  <w:style w:type="character" w:customStyle="1" w:styleId="EndnoteTextChar">
    <w:name w:val="Endnote Text Char"/>
    <w:basedOn w:val="DefaultParagraphFont"/>
    <w:link w:val="EndnoteText"/>
    <w:rsid w:val="00D907F8"/>
    <w:rPr>
      <w:rFonts w:eastAsia="Times New Roman" w:cs="Times New Roman"/>
      <w:sz w:val="19"/>
      <w:szCs w:val="20"/>
      <w:lang w:eastAsia="en-AU"/>
    </w:rPr>
  </w:style>
  <w:style w:type="paragraph" w:styleId="Index1">
    <w:name w:val="index 1"/>
    <w:basedOn w:val="Normal"/>
    <w:next w:val="Normal"/>
    <w:rsid w:val="00D907F8"/>
    <w:pPr>
      <w:ind w:left="200" w:hanging="200"/>
    </w:pPr>
    <w:rPr>
      <w:rFonts w:asciiTheme="minorHAnsi" w:hAnsiTheme="minorHAnsi"/>
    </w:rPr>
  </w:style>
  <w:style w:type="paragraph" w:styleId="Index2">
    <w:name w:val="index 2"/>
    <w:basedOn w:val="Normal"/>
    <w:next w:val="Normal"/>
    <w:rsid w:val="00D907F8"/>
    <w:pPr>
      <w:ind w:left="400" w:hanging="200"/>
    </w:pPr>
    <w:rPr>
      <w:rFonts w:asciiTheme="minorHAnsi" w:hAnsiTheme="minorHAnsi"/>
    </w:rPr>
  </w:style>
  <w:style w:type="paragraph" w:styleId="Index3">
    <w:name w:val="index 3"/>
    <w:basedOn w:val="Normal"/>
    <w:next w:val="Normal"/>
    <w:rsid w:val="00D907F8"/>
    <w:pPr>
      <w:ind w:left="600" w:hanging="200"/>
    </w:pPr>
    <w:rPr>
      <w:rFonts w:asciiTheme="minorHAnsi" w:hAnsiTheme="minorHAnsi"/>
    </w:rPr>
  </w:style>
  <w:style w:type="paragraph" w:styleId="IndexHeading">
    <w:name w:val="index heading"/>
    <w:basedOn w:val="Normal"/>
    <w:next w:val="Index1"/>
    <w:rsid w:val="00D907F8"/>
    <w:rPr>
      <w:rFonts w:ascii="Arial Bold" w:hAnsi="Arial Bold" w:cs="Arial"/>
      <w:b/>
      <w:bCs/>
      <w:color w:val="002B54"/>
    </w:rPr>
  </w:style>
  <w:style w:type="paragraph" w:styleId="TableofAuthorities">
    <w:name w:val="table of authorities"/>
    <w:basedOn w:val="Normal"/>
    <w:next w:val="Normal"/>
    <w:rsid w:val="00D907F8"/>
    <w:pPr>
      <w:ind w:left="200" w:hanging="200"/>
    </w:pPr>
    <w:rPr>
      <w:rFonts w:asciiTheme="minorHAnsi" w:hAnsiTheme="minorHAnsi"/>
    </w:rPr>
  </w:style>
  <w:style w:type="paragraph" w:customStyle="1" w:styleId="StatementWhite-Bullet">
    <w:name w:val="Statement White - Bullet"/>
    <w:basedOn w:val="Bullet"/>
    <w:qFormat/>
    <w:rsid w:val="00D907F8"/>
    <w:pPr>
      <w:numPr>
        <w:numId w:val="0"/>
      </w:numPr>
      <w:tabs>
        <w:tab w:val="num" w:pos="283"/>
      </w:tabs>
      <w:ind w:left="284" w:hanging="284"/>
    </w:pPr>
    <w:rPr>
      <w:rFonts w:asciiTheme="minorHAnsi" w:hAnsiTheme="minorHAnsi"/>
      <w:color w:val="FFFFFF" w:themeColor="background1"/>
    </w:rPr>
  </w:style>
  <w:style w:type="paragraph" w:styleId="BalloonText">
    <w:name w:val="Balloon Text"/>
    <w:basedOn w:val="Normal"/>
    <w:link w:val="BalloonTextChar"/>
    <w:rsid w:val="00D907F8"/>
    <w:rPr>
      <w:rFonts w:ascii="Tahoma" w:hAnsi="Tahoma" w:cs="Tahoma"/>
      <w:sz w:val="16"/>
      <w:szCs w:val="16"/>
    </w:rPr>
  </w:style>
  <w:style w:type="character" w:customStyle="1" w:styleId="BalloonTextChar">
    <w:name w:val="Balloon Text Char"/>
    <w:basedOn w:val="DefaultParagraphFont"/>
    <w:link w:val="BalloonText"/>
    <w:rsid w:val="00D907F8"/>
    <w:rPr>
      <w:rFonts w:ascii="Tahoma" w:eastAsia="Times New Roman" w:hAnsi="Tahoma" w:cs="Tahoma"/>
      <w:sz w:val="16"/>
      <w:szCs w:val="16"/>
      <w:lang w:eastAsia="en-AU"/>
    </w:rPr>
  </w:style>
  <w:style w:type="paragraph" w:customStyle="1" w:styleId="BlockedQuotation">
    <w:name w:val="Blocked Quotation"/>
    <w:basedOn w:val="Normal"/>
    <w:rsid w:val="00D907F8"/>
    <w:pPr>
      <w:ind w:left="567"/>
    </w:pPr>
    <w:rPr>
      <w:rFonts w:asciiTheme="minorHAnsi" w:hAnsiTheme="minorHAnsi"/>
    </w:rPr>
  </w:style>
  <w:style w:type="paragraph" w:customStyle="1" w:styleId="SourceBox">
    <w:name w:val="Source Box"/>
    <w:basedOn w:val="Source"/>
    <w:rsid w:val="00D907F8"/>
    <w:pPr>
      <w:spacing w:before="0" w:after="120"/>
    </w:pPr>
  </w:style>
  <w:style w:type="paragraph" w:customStyle="1" w:styleId="AppendixHeading">
    <w:name w:val="Appendix Heading"/>
    <w:basedOn w:val="HeadingBase"/>
    <w:rsid w:val="00D907F8"/>
    <w:pPr>
      <w:spacing w:after="240"/>
      <w:jc w:val="center"/>
      <w:outlineLvl w:val="3"/>
    </w:pPr>
    <w:rPr>
      <w:b/>
      <w:smallCaps/>
      <w:sz w:val="30"/>
    </w:rPr>
  </w:style>
  <w:style w:type="paragraph" w:customStyle="1" w:styleId="ContentsnoToC">
    <w:name w:val="Contents no ToC"/>
    <w:basedOn w:val="ContentsHeading"/>
    <w:rsid w:val="00D907F8"/>
    <w:pPr>
      <w:jc w:val="center"/>
    </w:pPr>
    <w:rPr>
      <w:kern w:val="0"/>
    </w:rPr>
  </w:style>
  <w:style w:type="paragraph" w:customStyle="1" w:styleId="TableColumnHeadingS118pt">
    <w:name w:val="Table Column Heading S11 8 pt"/>
    <w:basedOn w:val="TableColumnHeadingBase"/>
    <w:rsid w:val="00D907F8"/>
    <w:pPr>
      <w:spacing w:after="0"/>
    </w:pPr>
    <w:rPr>
      <w:rFonts w:ascii="Arial" w:hAnsi="Arial"/>
    </w:rPr>
  </w:style>
  <w:style w:type="paragraph" w:customStyle="1" w:styleId="TableColumnHeadingS119pt">
    <w:name w:val="Table Column Heading S11 9 pt"/>
    <w:basedOn w:val="TableColumnHeadingBase"/>
    <w:rsid w:val="00D907F8"/>
    <w:pPr>
      <w:spacing w:before="60" w:after="60"/>
    </w:pPr>
    <w:rPr>
      <w:rFonts w:ascii="Arial" w:hAnsi="Arial"/>
      <w:sz w:val="18"/>
    </w:rPr>
  </w:style>
  <w:style w:type="paragraph" w:customStyle="1" w:styleId="Boxcontinuedover">
    <w:name w:val="Box continued over"/>
    <w:basedOn w:val="BoxText"/>
    <w:qFormat/>
    <w:rsid w:val="00D907F8"/>
    <w:pPr>
      <w:spacing w:before="240" w:after="0"/>
      <w:jc w:val="right"/>
    </w:pPr>
    <w:rPr>
      <w:rFonts w:ascii="Arial" w:hAnsi="Arial"/>
      <w:b/>
      <w:bCs/>
      <w:sz w:val="18"/>
      <w:szCs w:val="16"/>
    </w:rPr>
  </w:style>
  <w:style w:type="paragraph" w:customStyle="1" w:styleId="ChartandTableFootnoteAlphaSmall">
    <w:name w:val="Chart and Table Footnote Alpha Small"/>
    <w:basedOn w:val="HeadingBase"/>
    <w:next w:val="Normal"/>
    <w:link w:val="ChartandTableFootnoteAlphaSmallChar"/>
    <w:rsid w:val="00D907F8"/>
    <w:pPr>
      <w:keepNext w:val="0"/>
      <w:tabs>
        <w:tab w:val="num" w:pos="284"/>
      </w:tabs>
      <w:ind w:left="284" w:hanging="284"/>
      <w:jc w:val="both"/>
    </w:pPr>
    <w:rPr>
      <w:rFonts w:cs="Arial"/>
      <w:color w:val="000000"/>
      <w:sz w:val="15"/>
      <w:szCs w:val="15"/>
    </w:rPr>
  </w:style>
  <w:style w:type="character" w:customStyle="1" w:styleId="ChartandTableFootnoteAlphaSmallChar">
    <w:name w:val="Chart and Table Footnote Alpha Small Char"/>
    <w:link w:val="ChartandTableFootnoteAlphaSmall"/>
    <w:rsid w:val="00D907F8"/>
    <w:rPr>
      <w:rFonts w:ascii="Arial" w:eastAsia="Times New Roman" w:hAnsi="Arial" w:cs="Arial"/>
      <w:color w:val="000000"/>
      <w:sz w:val="15"/>
      <w:szCs w:val="15"/>
      <w:lang w:eastAsia="en-AU"/>
    </w:rPr>
  </w:style>
  <w:style w:type="paragraph" w:styleId="NormalWeb">
    <w:name w:val="Normal (Web)"/>
    <w:basedOn w:val="Normal"/>
    <w:uiPriority w:val="99"/>
    <w:unhideWhenUsed/>
    <w:rsid w:val="00D907F8"/>
    <w:rPr>
      <w:rFonts w:ascii="Times New Roman" w:hAnsi="Times New Roman"/>
      <w:sz w:val="24"/>
      <w:szCs w:val="24"/>
    </w:rPr>
  </w:style>
  <w:style w:type="paragraph" w:styleId="Revision">
    <w:name w:val="Revision"/>
    <w:hidden/>
    <w:uiPriority w:val="99"/>
    <w:semiHidden/>
    <w:rsid w:val="00D907F8"/>
    <w:pPr>
      <w:spacing w:after="0" w:line="240" w:lineRule="auto"/>
    </w:pPr>
    <w:rPr>
      <w:rFonts w:ascii="Book Antiqua" w:eastAsia="Times New Roman" w:hAnsi="Book Antiqua" w:cs="Times New Roman"/>
      <w:sz w:val="20"/>
      <w:szCs w:val="20"/>
      <w:lang w:eastAsia="en-AU"/>
    </w:rPr>
  </w:style>
  <w:style w:type="paragraph" w:styleId="ListParagraph">
    <w:name w:val="List Paragraph"/>
    <w:basedOn w:val="Normal"/>
    <w:uiPriority w:val="34"/>
    <w:qFormat/>
    <w:rsid w:val="00D907F8"/>
    <w:pPr>
      <w:spacing w:after="0" w:line="240" w:lineRule="auto"/>
      <w:ind w:left="720"/>
    </w:pPr>
    <w:rPr>
      <w:rFonts w:ascii="Calibri" w:eastAsiaTheme="minorHAnsi" w:hAnsi="Calibri" w:cs="Calibri"/>
      <w:sz w:val="22"/>
      <w:szCs w:val="22"/>
      <w:lang w:eastAsia="en-US"/>
    </w:rPr>
  </w:style>
  <w:style w:type="character" w:customStyle="1" w:styleId="DashChar">
    <w:name w:val="Dash Char"/>
    <w:basedOn w:val="DefaultParagraphFont"/>
    <w:link w:val="Dash"/>
    <w:rsid w:val="00D907F8"/>
    <w:rPr>
      <w:rFonts w:ascii="Book Antiqua" w:eastAsia="Times New Roman" w:hAnsi="Book Antiqua" w:cs="Times New Roman"/>
      <w:sz w:val="19"/>
      <w:szCs w:val="20"/>
      <w:lang w:eastAsia="en-AU"/>
    </w:rPr>
  </w:style>
  <w:style w:type="character" w:customStyle="1" w:styleId="HeadingBaseChar">
    <w:name w:val="Heading Base Char"/>
    <w:basedOn w:val="DefaultParagraphFont"/>
    <w:link w:val="HeadingBase"/>
    <w:rsid w:val="00D907F8"/>
    <w:rPr>
      <w:rFonts w:ascii="Arial" w:eastAsia="Times New Roman" w:hAnsi="Arial" w:cs="Times New Roman"/>
      <w:sz w:val="24"/>
      <w:szCs w:val="20"/>
      <w:lang w:eastAsia="en-AU"/>
    </w:rPr>
  </w:style>
  <w:style w:type="character" w:customStyle="1" w:styleId="OutlineNumbered1Char">
    <w:name w:val="Outline Numbered 1 Char"/>
    <w:basedOn w:val="ChartandTableFootnoteChar"/>
    <w:link w:val="OutlineNumbered1"/>
    <w:rsid w:val="00D907F8"/>
    <w:rPr>
      <w:rFonts w:ascii="Arial" w:eastAsia="Times New Roman" w:hAnsi="Arial" w:cs="Times New Roman"/>
      <w:color w:val="000000"/>
      <w:sz w:val="19"/>
      <w:szCs w:val="20"/>
      <w:lang w:eastAsia="en-AU"/>
    </w:rPr>
  </w:style>
  <w:style w:type="character" w:customStyle="1" w:styleId="OutlineNumbered2Char">
    <w:name w:val="Outline Numbered 2 Char"/>
    <w:basedOn w:val="ChartandTableFootnoteChar"/>
    <w:link w:val="OutlineNumbered2"/>
    <w:rsid w:val="00D907F8"/>
    <w:rPr>
      <w:rFonts w:ascii="Arial" w:eastAsia="Times New Roman" w:hAnsi="Arial" w:cs="Times New Roman"/>
      <w:color w:val="000000"/>
      <w:sz w:val="19"/>
      <w:szCs w:val="20"/>
      <w:lang w:eastAsia="en-AU"/>
    </w:rPr>
  </w:style>
  <w:style w:type="character" w:customStyle="1" w:styleId="OutlineNumbered3Char">
    <w:name w:val="Outline Numbered 3 Char"/>
    <w:basedOn w:val="ChartandTableFootnoteChar"/>
    <w:link w:val="OutlineNumbered3"/>
    <w:rsid w:val="00D907F8"/>
    <w:rPr>
      <w:rFonts w:ascii="Arial" w:eastAsia="Times New Roman" w:hAnsi="Arial" w:cs="Times New Roman"/>
      <w:color w:val="000000"/>
      <w:sz w:val="19"/>
      <w:szCs w:val="20"/>
      <w:lang w:eastAsia="en-AU"/>
    </w:rPr>
  </w:style>
  <w:style w:type="character" w:styleId="Mention">
    <w:name w:val="Mention"/>
    <w:basedOn w:val="DefaultParagraphFont"/>
    <w:uiPriority w:val="99"/>
    <w:unhideWhenUsed/>
    <w:rsid w:val="00D907F8"/>
    <w:rPr>
      <w:color w:val="2B579A"/>
      <w:shd w:val="clear" w:color="auto" w:fill="E6E6E6"/>
    </w:rPr>
  </w:style>
  <w:style w:type="character" w:styleId="UnresolvedMention">
    <w:name w:val="Unresolved Mention"/>
    <w:basedOn w:val="DefaultParagraphFont"/>
    <w:uiPriority w:val="99"/>
    <w:unhideWhenUsed/>
    <w:rsid w:val="00D907F8"/>
    <w:rPr>
      <w:color w:val="605E5C"/>
      <w:shd w:val="clear" w:color="auto" w:fill="E1DFDD"/>
    </w:rPr>
  </w:style>
  <w:style w:type="character" w:styleId="FollowedHyperlink">
    <w:name w:val="FollowedHyperlink"/>
    <w:basedOn w:val="DefaultParagraphFont"/>
    <w:uiPriority w:val="99"/>
    <w:semiHidden/>
    <w:unhideWhenUsed/>
    <w:rsid w:val="00D907F8"/>
    <w:rPr>
      <w:color w:val="E61E26" w:themeColor="followedHyperlink"/>
      <w:u w:val="single"/>
    </w:rPr>
  </w:style>
  <w:style w:type="character" w:customStyle="1" w:styleId="ui-provider">
    <w:name w:val="ui-provider"/>
    <w:basedOn w:val="DefaultParagraphFont"/>
    <w:rsid w:val="00963326"/>
  </w:style>
  <w:style w:type="character" w:customStyle="1" w:styleId="normaltextrun">
    <w:name w:val="normaltextrun"/>
    <w:basedOn w:val="DefaultParagraphFont"/>
    <w:rsid w:val="00932126"/>
  </w:style>
  <w:style w:type="paragraph" w:styleId="Bibliography">
    <w:name w:val="Bibliography"/>
    <w:basedOn w:val="Normal"/>
    <w:next w:val="Normal"/>
    <w:uiPriority w:val="37"/>
    <w:semiHidden/>
    <w:unhideWhenUsed/>
    <w:rsid w:val="007D1CF1"/>
  </w:style>
  <w:style w:type="paragraph" w:styleId="BlockText">
    <w:name w:val="Block Text"/>
    <w:basedOn w:val="Normal"/>
    <w:uiPriority w:val="99"/>
    <w:semiHidden/>
    <w:unhideWhenUsed/>
    <w:rsid w:val="007D1CF1"/>
    <w:pPr>
      <w:pBdr>
        <w:top w:val="single" w:sz="2" w:space="10" w:color="0364C3" w:themeColor="accent1"/>
        <w:left w:val="single" w:sz="2" w:space="10" w:color="0364C3" w:themeColor="accent1"/>
        <w:bottom w:val="single" w:sz="2" w:space="10" w:color="0364C3" w:themeColor="accent1"/>
        <w:right w:val="single" w:sz="2" w:space="10" w:color="0364C3" w:themeColor="accent1"/>
      </w:pBdr>
      <w:ind w:left="1152" w:right="1152"/>
    </w:pPr>
    <w:rPr>
      <w:rFonts w:asciiTheme="minorHAnsi" w:eastAsiaTheme="minorEastAsia" w:hAnsiTheme="minorHAnsi" w:cstheme="minorBidi"/>
      <w:i/>
      <w:iCs/>
      <w:color w:val="0364C3" w:themeColor="accent1"/>
    </w:rPr>
  </w:style>
  <w:style w:type="paragraph" w:styleId="BodyText">
    <w:name w:val="Body Text"/>
    <w:basedOn w:val="Normal"/>
    <w:link w:val="BodyTextChar"/>
    <w:uiPriority w:val="99"/>
    <w:semiHidden/>
    <w:unhideWhenUsed/>
    <w:rsid w:val="007D1CF1"/>
    <w:pPr>
      <w:spacing w:after="120"/>
    </w:pPr>
  </w:style>
  <w:style w:type="character" w:customStyle="1" w:styleId="BodyTextChar">
    <w:name w:val="Body Text Char"/>
    <w:basedOn w:val="DefaultParagraphFont"/>
    <w:link w:val="BodyText"/>
    <w:uiPriority w:val="99"/>
    <w:semiHidden/>
    <w:rsid w:val="007D1CF1"/>
    <w:rPr>
      <w:rFonts w:ascii="Book Antiqua" w:eastAsia="Times New Roman" w:hAnsi="Book Antiqua" w:cs="Times New Roman"/>
      <w:sz w:val="19"/>
      <w:szCs w:val="20"/>
      <w:lang w:eastAsia="en-AU"/>
    </w:rPr>
  </w:style>
  <w:style w:type="paragraph" w:styleId="BodyText2">
    <w:name w:val="Body Text 2"/>
    <w:basedOn w:val="Normal"/>
    <w:link w:val="BodyText2Char"/>
    <w:uiPriority w:val="99"/>
    <w:semiHidden/>
    <w:unhideWhenUsed/>
    <w:rsid w:val="007D1CF1"/>
    <w:pPr>
      <w:spacing w:after="120" w:line="480" w:lineRule="auto"/>
    </w:pPr>
  </w:style>
  <w:style w:type="character" w:customStyle="1" w:styleId="BodyText2Char">
    <w:name w:val="Body Text 2 Char"/>
    <w:basedOn w:val="DefaultParagraphFont"/>
    <w:link w:val="BodyText2"/>
    <w:uiPriority w:val="99"/>
    <w:semiHidden/>
    <w:rsid w:val="007D1CF1"/>
    <w:rPr>
      <w:rFonts w:ascii="Book Antiqua" w:eastAsia="Times New Roman" w:hAnsi="Book Antiqua" w:cs="Times New Roman"/>
      <w:sz w:val="19"/>
      <w:szCs w:val="20"/>
      <w:lang w:eastAsia="en-AU"/>
    </w:rPr>
  </w:style>
  <w:style w:type="paragraph" w:styleId="BodyText3">
    <w:name w:val="Body Text 3"/>
    <w:basedOn w:val="Normal"/>
    <w:link w:val="BodyText3Char"/>
    <w:uiPriority w:val="99"/>
    <w:semiHidden/>
    <w:unhideWhenUsed/>
    <w:rsid w:val="007D1CF1"/>
    <w:pPr>
      <w:spacing w:after="120"/>
    </w:pPr>
    <w:rPr>
      <w:sz w:val="16"/>
      <w:szCs w:val="16"/>
    </w:rPr>
  </w:style>
  <w:style w:type="character" w:customStyle="1" w:styleId="BodyText3Char">
    <w:name w:val="Body Text 3 Char"/>
    <w:basedOn w:val="DefaultParagraphFont"/>
    <w:link w:val="BodyText3"/>
    <w:uiPriority w:val="99"/>
    <w:semiHidden/>
    <w:rsid w:val="007D1CF1"/>
    <w:rPr>
      <w:rFonts w:ascii="Book Antiqua" w:eastAsia="Times New Roman" w:hAnsi="Book Antiqua" w:cs="Times New Roman"/>
      <w:sz w:val="16"/>
      <w:szCs w:val="16"/>
      <w:lang w:eastAsia="en-AU"/>
    </w:rPr>
  </w:style>
  <w:style w:type="paragraph" w:styleId="BodyTextFirstIndent">
    <w:name w:val="Body Text First Indent"/>
    <w:basedOn w:val="BodyText"/>
    <w:link w:val="BodyTextFirstIndentChar"/>
    <w:uiPriority w:val="99"/>
    <w:semiHidden/>
    <w:unhideWhenUsed/>
    <w:rsid w:val="007D1CF1"/>
    <w:pPr>
      <w:spacing w:after="240"/>
      <w:ind w:firstLine="360"/>
    </w:pPr>
  </w:style>
  <w:style w:type="character" w:customStyle="1" w:styleId="BodyTextFirstIndentChar">
    <w:name w:val="Body Text First Indent Char"/>
    <w:basedOn w:val="BodyTextChar"/>
    <w:link w:val="BodyTextFirstIndent"/>
    <w:uiPriority w:val="99"/>
    <w:semiHidden/>
    <w:rsid w:val="007D1CF1"/>
    <w:rPr>
      <w:rFonts w:ascii="Book Antiqua" w:eastAsia="Times New Roman" w:hAnsi="Book Antiqua" w:cs="Times New Roman"/>
      <w:sz w:val="19"/>
      <w:szCs w:val="20"/>
      <w:lang w:eastAsia="en-AU"/>
    </w:rPr>
  </w:style>
  <w:style w:type="paragraph" w:styleId="BodyTextIndent">
    <w:name w:val="Body Text Indent"/>
    <w:basedOn w:val="Normal"/>
    <w:link w:val="BodyTextIndentChar"/>
    <w:uiPriority w:val="99"/>
    <w:semiHidden/>
    <w:unhideWhenUsed/>
    <w:rsid w:val="007D1CF1"/>
    <w:pPr>
      <w:spacing w:after="120"/>
      <w:ind w:left="283"/>
    </w:pPr>
  </w:style>
  <w:style w:type="character" w:customStyle="1" w:styleId="BodyTextIndentChar">
    <w:name w:val="Body Text Indent Char"/>
    <w:basedOn w:val="DefaultParagraphFont"/>
    <w:link w:val="BodyTextIndent"/>
    <w:uiPriority w:val="99"/>
    <w:semiHidden/>
    <w:rsid w:val="007D1CF1"/>
    <w:rPr>
      <w:rFonts w:ascii="Book Antiqua" w:eastAsia="Times New Roman" w:hAnsi="Book Antiqua" w:cs="Times New Roman"/>
      <w:sz w:val="19"/>
      <w:szCs w:val="20"/>
      <w:lang w:eastAsia="en-AU"/>
    </w:rPr>
  </w:style>
  <w:style w:type="paragraph" w:styleId="BodyTextFirstIndent2">
    <w:name w:val="Body Text First Indent 2"/>
    <w:basedOn w:val="BodyTextIndent"/>
    <w:link w:val="BodyTextFirstIndent2Char"/>
    <w:uiPriority w:val="99"/>
    <w:semiHidden/>
    <w:unhideWhenUsed/>
    <w:rsid w:val="007D1CF1"/>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D1CF1"/>
    <w:rPr>
      <w:rFonts w:ascii="Book Antiqua" w:eastAsia="Times New Roman" w:hAnsi="Book Antiqua" w:cs="Times New Roman"/>
      <w:sz w:val="19"/>
      <w:szCs w:val="20"/>
      <w:lang w:eastAsia="en-AU"/>
    </w:rPr>
  </w:style>
  <w:style w:type="paragraph" w:styleId="BodyTextIndent2">
    <w:name w:val="Body Text Indent 2"/>
    <w:basedOn w:val="Normal"/>
    <w:link w:val="BodyTextIndent2Char"/>
    <w:uiPriority w:val="99"/>
    <w:semiHidden/>
    <w:unhideWhenUsed/>
    <w:rsid w:val="007D1CF1"/>
    <w:pPr>
      <w:spacing w:after="120" w:line="480" w:lineRule="auto"/>
      <w:ind w:left="283"/>
    </w:pPr>
  </w:style>
  <w:style w:type="character" w:customStyle="1" w:styleId="BodyTextIndent2Char">
    <w:name w:val="Body Text Indent 2 Char"/>
    <w:basedOn w:val="DefaultParagraphFont"/>
    <w:link w:val="BodyTextIndent2"/>
    <w:uiPriority w:val="99"/>
    <w:semiHidden/>
    <w:rsid w:val="007D1CF1"/>
    <w:rPr>
      <w:rFonts w:ascii="Book Antiqua" w:eastAsia="Times New Roman" w:hAnsi="Book Antiqua" w:cs="Times New Roman"/>
      <w:sz w:val="19"/>
      <w:szCs w:val="20"/>
      <w:lang w:eastAsia="en-AU"/>
    </w:rPr>
  </w:style>
  <w:style w:type="paragraph" w:styleId="BodyTextIndent3">
    <w:name w:val="Body Text Indent 3"/>
    <w:basedOn w:val="Normal"/>
    <w:link w:val="BodyTextIndent3Char"/>
    <w:uiPriority w:val="99"/>
    <w:semiHidden/>
    <w:unhideWhenUsed/>
    <w:rsid w:val="007D1C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1CF1"/>
    <w:rPr>
      <w:rFonts w:ascii="Book Antiqua" w:eastAsia="Times New Roman" w:hAnsi="Book Antiqua" w:cs="Times New Roman"/>
      <w:sz w:val="16"/>
      <w:szCs w:val="16"/>
      <w:lang w:eastAsia="en-AU"/>
    </w:rPr>
  </w:style>
  <w:style w:type="paragraph" w:styleId="Closing">
    <w:name w:val="Closing"/>
    <w:basedOn w:val="Normal"/>
    <w:link w:val="ClosingChar"/>
    <w:uiPriority w:val="99"/>
    <w:semiHidden/>
    <w:unhideWhenUsed/>
    <w:rsid w:val="007D1CF1"/>
    <w:pPr>
      <w:spacing w:before="0" w:after="0" w:line="240" w:lineRule="auto"/>
      <w:ind w:left="4252"/>
    </w:pPr>
  </w:style>
  <w:style w:type="character" w:customStyle="1" w:styleId="ClosingChar">
    <w:name w:val="Closing Char"/>
    <w:basedOn w:val="DefaultParagraphFont"/>
    <w:link w:val="Closing"/>
    <w:uiPriority w:val="99"/>
    <w:semiHidden/>
    <w:rsid w:val="007D1CF1"/>
    <w:rPr>
      <w:rFonts w:ascii="Book Antiqua" w:eastAsia="Times New Roman" w:hAnsi="Book Antiqua" w:cs="Times New Roman"/>
      <w:sz w:val="19"/>
      <w:szCs w:val="20"/>
      <w:lang w:eastAsia="en-AU"/>
    </w:rPr>
  </w:style>
  <w:style w:type="paragraph" w:styleId="Date">
    <w:name w:val="Date"/>
    <w:basedOn w:val="Normal"/>
    <w:next w:val="Normal"/>
    <w:link w:val="DateChar"/>
    <w:uiPriority w:val="99"/>
    <w:semiHidden/>
    <w:unhideWhenUsed/>
    <w:rsid w:val="007D1CF1"/>
  </w:style>
  <w:style w:type="character" w:customStyle="1" w:styleId="DateChar">
    <w:name w:val="Date Char"/>
    <w:basedOn w:val="DefaultParagraphFont"/>
    <w:link w:val="Date"/>
    <w:uiPriority w:val="99"/>
    <w:semiHidden/>
    <w:rsid w:val="007D1CF1"/>
    <w:rPr>
      <w:rFonts w:ascii="Book Antiqua" w:eastAsia="Times New Roman" w:hAnsi="Book Antiqua" w:cs="Times New Roman"/>
      <w:sz w:val="19"/>
      <w:szCs w:val="20"/>
      <w:lang w:eastAsia="en-AU"/>
    </w:rPr>
  </w:style>
  <w:style w:type="paragraph" w:styleId="E-mailSignature">
    <w:name w:val="E-mail Signature"/>
    <w:basedOn w:val="Normal"/>
    <w:link w:val="E-mailSignatureChar"/>
    <w:uiPriority w:val="99"/>
    <w:semiHidden/>
    <w:unhideWhenUsed/>
    <w:rsid w:val="007D1CF1"/>
    <w:pPr>
      <w:spacing w:before="0" w:after="0" w:line="240" w:lineRule="auto"/>
    </w:pPr>
  </w:style>
  <w:style w:type="character" w:customStyle="1" w:styleId="E-mailSignatureChar">
    <w:name w:val="E-mail Signature Char"/>
    <w:basedOn w:val="DefaultParagraphFont"/>
    <w:link w:val="E-mailSignature"/>
    <w:uiPriority w:val="99"/>
    <w:semiHidden/>
    <w:rsid w:val="007D1CF1"/>
    <w:rPr>
      <w:rFonts w:ascii="Book Antiqua" w:eastAsia="Times New Roman" w:hAnsi="Book Antiqua" w:cs="Times New Roman"/>
      <w:sz w:val="19"/>
      <w:szCs w:val="20"/>
      <w:lang w:eastAsia="en-AU"/>
    </w:rPr>
  </w:style>
  <w:style w:type="paragraph" w:styleId="EnvelopeAddress">
    <w:name w:val="envelope address"/>
    <w:basedOn w:val="Normal"/>
    <w:uiPriority w:val="99"/>
    <w:semiHidden/>
    <w:unhideWhenUsed/>
    <w:rsid w:val="007D1CF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1CF1"/>
    <w:pPr>
      <w:spacing w:before="0"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7D1CF1"/>
    <w:pPr>
      <w:spacing w:before="0" w:after="0" w:line="240" w:lineRule="auto"/>
    </w:pPr>
    <w:rPr>
      <w:i/>
      <w:iCs/>
    </w:rPr>
  </w:style>
  <w:style w:type="character" w:customStyle="1" w:styleId="HTMLAddressChar">
    <w:name w:val="HTML Address Char"/>
    <w:basedOn w:val="DefaultParagraphFont"/>
    <w:link w:val="HTMLAddress"/>
    <w:uiPriority w:val="99"/>
    <w:semiHidden/>
    <w:rsid w:val="007D1CF1"/>
    <w:rPr>
      <w:rFonts w:ascii="Book Antiqua" w:eastAsia="Times New Roman" w:hAnsi="Book Antiqua" w:cs="Times New Roman"/>
      <w:i/>
      <w:iCs/>
      <w:sz w:val="19"/>
      <w:szCs w:val="20"/>
      <w:lang w:eastAsia="en-AU"/>
    </w:rPr>
  </w:style>
  <w:style w:type="paragraph" w:styleId="HTMLPreformatted">
    <w:name w:val="HTML Preformatted"/>
    <w:basedOn w:val="Normal"/>
    <w:link w:val="HTMLPreformattedChar"/>
    <w:uiPriority w:val="99"/>
    <w:semiHidden/>
    <w:unhideWhenUsed/>
    <w:rsid w:val="007D1CF1"/>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D1CF1"/>
    <w:rPr>
      <w:rFonts w:ascii="Consolas" w:eastAsia="Times New Roman" w:hAnsi="Consolas" w:cs="Times New Roman"/>
      <w:sz w:val="20"/>
      <w:szCs w:val="20"/>
      <w:lang w:eastAsia="en-AU"/>
    </w:rPr>
  </w:style>
  <w:style w:type="paragraph" w:styleId="IntenseQuote">
    <w:name w:val="Intense Quote"/>
    <w:basedOn w:val="Normal"/>
    <w:next w:val="Normal"/>
    <w:link w:val="IntenseQuoteChar"/>
    <w:uiPriority w:val="30"/>
    <w:rsid w:val="007D1CF1"/>
    <w:pPr>
      <w:pBdr>
        <w:top w:val="single" w:sz="4" w:space="10" w:color="0364C3" w:themeColor="accent1"/>
        <w:bottom w:val="single" w:sz="4" w:space="10" w:color="0364C3" w:themeColor="accent1"/>
      </w:pBdr>
      <w:spacing w:before="360" w:after="360"/>
      <w:ind w:left="864" w:right="864"/>
      <w:jc w:val="center"/>
    </w:pPr>
    <w:rPr>
      <w:i/>
      <w:iCs/>
      <w:color w:val="0364C3" w:themeColor="accent1"/>
    </w:rPr>
  </w:style>
  <w:style w:type="character" w:customStyle="1" w:styleId="IntenseQuoteChar">
    <w:name w:val="Intense Quote Char"/>
    <w:basedOn w:val="DefaultParagraphFont"/>
    <w:link w:val="IntenseQuote"/>
    <w:uiPriority w:val="30"/>
    <w:rsid w:val="007D1CF1"/>
    <w:rPr>
      <w:rFonts w:ascii="Book Antiqua" w:eastAsia="Times New Roman" w:hAnsi="Book Antiqua" w:cs="Times New Roman"/>
      <w:i/>
      <w:iCs/>
      <w:color w:val="0364C3" w:themeColor="accent1"/>
      <w:sz w:val="19"/>
      <w:szCs w:val="20"/>
      <w:lang w:eastAsia="en-AU"/>
    </w:rPr>
  </w:style>
  <w:style w:type="paragraph" w:styleId="List">
    <w:name w:val="List"/>
    <w:basedOn w:val="Normal"/>
    <w:uiPriority w:val="99"/>
    <w:semiHidden/>
    <w:unhideWhenUsed/>
    <w:rsid w:val="007D1CF1"/>
    <w:pPr>
      <w:ind w:left="283" w:hanging="283"/>
      <w:contextualSpacing/>
    </w:pPr>
  </w:style>
  <w:style w:type="paragraph" w:styleId="List2">
    <w:name w:val="List 2"/>
    <w:basedOn w:val="Normal"/>
    <w:uiPriority w:val="99"/>
    <w:semiHidden/>
    <w:unhideWhenUsed/>
    <w:rsid w:val="007D1CF1"/>
    <w:pPr>
      <w:ind w:left="566" w:hanging="283"/>
      <w:contextualSpacing/>
    </w:pPr>
  </w:style>
  <w:style w:type="paragraph" w:styleId="List3">
    <w:name w:val="List 3"/>
    <w:basedOn w:val="Normal"/>
    <w:uiPriority w:val="99"/>
    <w:semiHidden/>
    <w:unhideWhenUsed/>
    <w:rsid w:val="007D1CF1"/>
    <w:pPr>
      <w:ind w:left="849" w:hanging="283"/>
      <w:contextualSpacing/>
    </w:pPr>
  </w:style>
  <w:style w:type="paragraph" w:styleId="List4">
    <w:name w:val="List 4"/>
    <w:basedOn w:val="Normal"/>
    <w:uiPriority w:val="99"/>
    <w:semiHidden/>
    <w:unhideWhenUsed/>
    <w:rsid w:val="007D1CF1"/>
    <w:pPr>
      <w:ind w:left="1132" w:hanging="283"/>
      <w:contextualSpacing/>
    </w:pPr>
  </w:style>
  <w:style w:type="paragraph" w:styleId="List5">
    <w:name w:val="List 5"/>
    <w:basedOn w:val="Normal"/>
    <w:uiPriority w:val="99"/>
    <w:semiHidden/>
    <w:unhideWhenUsed/>
    <w:rsid w:val="007D1CF1"/>
    <w:pPr>
      <w:ind w:left="1415" w:hanging="283"/>
      <w:contextualSpacing/>
    </w:pPr>
  </w:style>
  <w:style w:type="paragraph" w:styleId="ListBullet">
    <w:name w:val="List Bullet"/>
    <w:basedOn w:val="Normal"/>
    <w:uiPriority w:val="99"/>
    <w:semiHidden/>
    <w:unhideWhenUsed/>
    <w:rsid w:val="007D1CF1"/>
    <w:pPr>
      <w:numPr>
        <w:numId w:val="14"/>
      </w:numPr>
      <w:contextualSpacing/>
    </w:pPr>
  </w:style>
  <w:style w:type="paragraph" w:styleId="ListBullet2">
    <w:name w:val="List Bullet 2"/>
    <w:basedOn w:val="Normal"/>
    <w:uiPriority w:val="99"/>
    <w:semiHidden/>
    <w:unhideWhenUsed/>
    <w:rsid w:val="007D1CF1"/>
    <w:pPr>
      <w:numPr>
        <w:numId w:val="15"/>
      </w:numPr>
      <w:contextualSpacing/>
    </w:pPr>
  </w:style>
  <w:style w:type="paragraph" w:styleId="ListBullet3">
    <w:name w:val="List Bullet 3"/>
    <w:basedOn w:val="Normal"/>
    <w:uiPriority w:val="99"/>
    <w:semiHidden/>
    <w:unhideWhenUsed/>
    <w:rsid w:val="007D1CF1"/>
    <w:pPr>
      <w:numPr>
        <w:numId w:val="16"/>
      </w:numPr>
      <w:contextualSpacing/>
    </w:pPr>
  </w:style>
  <w:style w:type="paragraph" w:styleId="ListBullet4">
    <w:name w:val="List Bullet 4"/>
    <w:basedOn w:val="Normal"/>
    <w:uiPriority w:val="99"/>
    <w:semiHidden/>
    <w:unhideWhenUsed/>
    <w:rsid w:val="007D1CF1"/>
    <w:pPr>
      <w:numPr>
        <w:numId w:val="17"/>
      </w:numPr>
      <w:contextualSpacing/>
    </w:pPr>
  </w:style>
  <w:style w:type="paragraph" w:styleId="ListBullet5">
    <w:name w:val="List Bullet 5"/>
    <w:basedOn w:val="Normal"/>
    <w:uiPriority w:val="99"/>
    <w:semiHidden/>
    <w:unhideWhenUsed/>
    <w:rsid w:val="007D1CF1"/>
    <w:pPr>
      <w:numPr>
        <w:numId w:val="18"/>
      </w:numPr>
      <w:contextualSpacing/>
    </w:pPr>
  </w:style>
  <w:style w:type="paragraph" w:styleId="ListContinue">
    <w:name w:val="List Continue"/>
    <w:basedOn w:val="Normal"/>
    <w:uiPriority w:val="99"/>
    <w:semiHidden/>
    <w:unhideWhenUsed/>
    <w:rsid w:val="007D1CF1"/>
    <w:pPr>
      <w:spacing w:after="120"/>
      <w:ind w:left="283"/>
      <w:contextualSpacing/>
    </w:pPr>
  </w:style>
  <w:style w:type="paragraph" w:styleId="ListContinue2">
    <w:name w:val="List Continue 2"/>
    <w:basedOn w:val="Normal"/>
    <w:uiPriority w:val="99"/>
    <w:semiHidden/>
    <w:unhideWhenUsed/>
    <w:rsid w:val="007D1CF1"/>
    <w:pPr>
      <w:spacing w:after="120"/>
      <w:ind w:left="566"/>
      <w:contextualSpacing/>
    </w:pPr>
  </w:style>
  <w:style w:type="paragraph" w:styleId="ListContinue3">
    <w:name w:val="List Continue 3"/>
    <w:basedOn w:val="Normal"/>
    <w:uiPriority w:val="99"/>
    <w:semiHidden/>
    <w:unhideWhenUsed/>
    <w:rsid w:val="007D1CF1"/>
    <w:pPr>
      <w:spacing w:after="120"/>
      <w:ind w:left="849"/>
      <w:contextualSpacing/>
    </w:pPr>
  </w:style>
  <w:style w:type="paragraph" w:styleId="ListContinue4">
    <w:name w:val="List Continue 4"/>
    <w:basedOn w:val="Normal"/>
    <w:uiPriority w:val="99"/>
    <w:semiHidden/>
    <w:unhideWhenUsed/>
    <w:rsid w:val="007D1CF1"/>
    <w:pPr>
      <w:spacing w:after="120"/>
      <w:ind w:left="1132"/>
      <w:contextualSpacing/>
    </w:pPr>
  </w:style>
  <w:style w:type="paragraph" w:styleId="ListContinue5">
    <w:name w:val="List Continue 5"/>
    <w:basedOn w:val="Normal"/>
    <w:uiPriority w:val="99"/>
    <w:semiHidden/>
    <w:unhideWhenUsed/>
    <w:rsid w:val="007D1CF1"/>
    <w:pPr>
      <w:spacing w:after="120"/>
      <w:ind w:left="1415"/>
      <w:contextualSpacing/>
    </w:pPr>
  </w:style>
  <w:style w:type="paragraph" w:styleId="ListNumber">
    <w:name w:val="List Number"/>
    <w:basedOn w:val="Normal"/>
    <w:uiPriority w:val="99"/>
    <w:semiHidden/>
    <w:unhideWhenUsed/>
    <w:rsid w:val="007D1CF1"/>
    <w:pPr>
      <w:numPr>
        <w:numId w:val="19"/>
      </w:numPr>
      <w:contextualSpacing/>
    </w:pPr>
  </w:style>
  <w:style w:type="paragraph" w:styleId="ListNumber2">
    <w:name w:val="List Number 2"/>
    <w:basedOn w:val="Normal"/>
    <w:uiPriority w:val="99"/>
    <w:semiHidden/>
    <w:unhideWhenUsed/>
    <w:rsid w:val="007D1CF1"/>
    <w:pPr>
      <w:numPr>
        <w:numId w:val="20"/>
      </w:numPr>
      <w:contextualSpacing/>
    </w:pPr>
  </w:style>
  <w:style w:type="paragraph" w:styleId="ListNumber3">
    <w:name w:val="List Number 3"/>
    <w:basedOn w:val="Normal"/>
    <w:uiPriority w:val="99"/>
    <w:semiHidden/>
    <w:unhideWhenUsed/>
    <w:rsid w:val="007D1CF1"/>
    <w:pPr>
      <w:numPr>
        <w:numId w:val="21"/>
      </w:numPr>
      <w:contextualSpacing/>
    </w:pPr>
  </w:style>
  <w:style w:type="paragraph" w:styleId="ListNumber4">
    <w:name w:val="List Number 4"/>
    <w:basedOn w:val="Normal"/>
    <w:uiPriority w:val="99"/>
    <w:semiHidden/>
    <w:unhideWhenUsed/>
    <w:rsid w:val="007D1CF1"/>
    <w:pPr>
      <w:numPr>
        <w:numId w:val="22"/>
      </w:numPr>
      <w:contextualSpacing/>
    </w:pPr>
  </w:style>
  <w:style w:type="paragraph" w:styleId="ListNumber5">
    <w:name w:val="List Number 5"/>
    <w:basedOn w:val="Normal"/>
    <w:uiPriority w:val="99"/>
    <w:semiHidden/>
    <w:unhideWhenUsed/>
    <w:rsid w:val="007D1CF1"/>
    <w:pPr>
      <w:numPr>
        <w:numId w:val="23"/>
      </w:numPr>
      <w:contextualSpacing/>
    </w:pPr>
  </w:style>
  <w:style w:type="paragraph" w:styleId="MessageHeader">
    <w:name w:val="Message Header"/>
    <w:basedOn w:val="Normal"/>
    <w:link w:val="MessageHeaderChar"/>
    <w:uiPriority w:val="99"/>
    <w:semiHidden/>
    <w:unhideWhenUsed/>
    <w:rsid w:val="007D1C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1CF1"/>
    <w:rPr>
      <w:rFonts w:asciiTheme="majorHAnsi" w:eastAsiaTheme="majorEastAsia" w:hAnsiTheme="majorHAnsi" w:cstheme="majorBidi"/>
      <w:sz w:val="24"/>
      <w:szCs w:val="24"/>
      <w:shd w:val="pct20" w:color="auto" w:fill="auto"/>
      <w:lang w:eastAsia="en-AU"/>
    </w:rPr>
  </w:style>
  <w:style w:type="paragraph" w:styleId="NoteHeading">
    <w:name w:val="Note Heading"/>
    <w:basedOn w:val="Normal"/>
    <w:next w:val="Normal"/>
    <w:link w:val="NoteHeadingChar"/>
    <w:uiPriority w:val="99"/>
    <w:semiHidden/>
    <w:unhideWhenUsed/>
    <w:rsid w:val="007D1CF1"/>
    <w:pPr>
      <w:spacing w:before="0" w:after="0" w:line="240" w:lineRule="auto"/>
    </w:pPr>
  </w:style>
  <w:style w:type="character" w:customStyle="1" w:styleId="NoteHeadingChar">
    <w:name w:val="Note Heading Char"/>
    <w:basedOn w:val="DefaultParagraphFont"/>
    <w:link w:val="NoteHeading"/>
    <w:uiPriority w:val="99"/>
    <w:semiHidden/>
    <w:rsid w:val="007D1CF1"/>
    <w:rPr>
      <w:rFonts w:ascii="Book Antiqua" w:eastAsia="Times New Roman" w:hAnsi="Book Antiqua" w:cs="Times New Roman"/>
      <w:sz w:val="19"/>
      <w:szCs w:val="20"/>
      <w:lang w:eastAsia="en-AU"/>
    </w:rPr>
  </w:style>
  <w:style w:type="paragraph" w:styleId="PlainText">
    <w:name w:val="Plain Text"/>
    <w:basedOn w:val="Normal"/>
    <w:link w:val="PlainTextChar"/>
    <w:uiPriority w:val="99"/>
    <w:semiHidden/>
    <w:unhideWhenUsed/>
    <w:rsid w:val="007D1CF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D1CF1"/>
    <w:rPr>
      <w:rFonts w:ascii="Consolas" w:eastAsia="Times New Roman" w:hAnsi="Consolas" w:cs="Times New Roman"/>
      <w:sz w:val="21"/>
      <w:szCs w:val="21"/>
      <w:lang w:eastAsia="en-AU"/>
    </w:rPr>
  </w:style>
  <w:style w:type="paragraph" w:styleId="Quote">
    <w:name w:val="Quote"/>
    <w:basedOn w:val="Normal"/>
    <w:next w:val="Normal"/>
    <w:link w:val="QuoteChar"/>
    <w:uiPriority w:val="29"/>
    <w:rsid w:val="007D1C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1CF1"/>
    <w:rPr>
      <w:rFonts w:ascii="Book Antiqua" w:eastAsia="Times New Roman" w:hAnsi="Book Antiqua" w:cs="Times New Roman"/>
      <w:i/>
      <w:iCs/>
      <w:color w:val="404040" w:themeColor="text1" w:themeTint="BF"/>
      <w:sz w:val="19"/>
      <w:szCs w:val="20"/>
      <w:lang w:eastAsia="en-AU"/>
    </w:rPr>
  </w:style>
  <w:style w:type="paragraph" w:styleId="Salutation">
    <w:name w:val="Salutation"/>
    <w:basedOn w:val="Normal"/>
    <w:next w:val="Normal"/>
    <w:link w:val="SalutationChar"/>
    <w:uiPriority w:val="99"/>
    <w:semiHidden/>
    <w:unhideWhenUsed/>
    <w:rsid w:val="007D1CF1"/>
  </w:style>
  <w:style w:type="character" w:customStyle="1" w:styleId="SalutationChar">
    <w:name w:val="Salutation Char"/>
    <w:basedOn w:val="DefaultParagraphFont"/>
    <w:link w:val="Salutation"/>
    <w:uiPriority w:val="99"/>
    <w:semiHidden/>
    <w:rsid w:val="007D1CF1"/>
    <w:rPr>
      <w:rFonts w:ascii="Book Antiqua" w:eastAsia="Times New Roman" w:hAnsi="Book Antiqua" w:cs="Times New Roman"/>
      <w:sz w:val="19"/>
      <w:szCs w:val="20"/>
      <w:lang w:eastAsia="en-AU"/>
    </w:rPr>
  </w:style>
  <w:style w:type="paragraph" w:styleId="Signature">
    <w:name w:val="Signature"/>
    <w:basedOn w:val="Normal"/>
    <w:link w:val="SignatureChar"/>
    <w:uiPriority w:val="99"/>
    <w:semiHidden/>
    <w:unhideWhenUsed/>
    <w:rsid w:val="007D1CF1"/>
    <w:pPr>
      <w:spacing w:before="0" w:after="0" w:line="240" w:lineRule="auto"/>
      <w:ind w:left="4252"/>
    </w:pPr>
  </w:style>
  <w:style w:type="character" w:customStyle="1" w:styleId="SignatureChar">
    <w:name w:val="Signature Char"/>
    <w:basedOn w:val="DefaultParagraphFont"/>
    <w:link w:val="Signature"/>
    <w:uiPriority w:val="99"/>
    <w:semiHidden/>
    <w:rsid w:val="007D1CF1"/>
    <w:rPr>
      <w:rFonts w:ascii="Book Antiqua" w:eastAsia="Times New Roman" w:hAnsi="Book Antiqua" w:cs="Times New Roman"/>
      <w:sz w:val="19"/>
      <w:szCs w:val="20"/>
      <w:lang w:eastAsia="en-AU"/>
    </w:rPr>
  </w:style>
  <w:style w:type="paragraph" w:styleId="Subtitle">
    <w:name w:val="Subtitle"/>
    <w:basedOn w:val="Normal"/>
    <w:next w:val="Normal"/>
    <w:link w:val="SubtitleChar"/>
    <w:uiPriority w:val="11"/>
    <w:rsid w:val="007D1C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1CF1"/>
    <w:rPr>
      <w:rFonts w:eastAsiaTheme="minorEastAsia"/>
      <w:color w:val="5A5A5A" w:themeColor="text1" w:themeTint="A5"/>
      <w:spacing w:val="15"/>
      <w:lang w:eastAsia="en-AU"/>
    </w:rPr>
  </w:style>
  <w:style w:type="paragraph" w:styleId="Title">
    <w:name w:val="Title"/>
    <w:basedOn w:val="Normal"/>
    <w:next w:val="Normal"/>
    <w:link w:val="TitleChar"/>
    <w:uiPriority w:val="10"/>
    <w:rsid w:val="007D1CF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CF1"/>
    <w:rPr>
      <w:rFonts w:asciiTheme="majorHAnsi" w:eastAsiaTheme="majorEastAsia" w:hAnsiTheme="majorHAnsi" w:cstheme="majorBidi"/>
      <w:spacing w:val="-10"/>
      <w:kern w:val="28"/>
      <w:sz w:val="56"/>
      <w:szCs w:val="56"/>
      <w:lang w:eastAsia="en-AU"/>
    </w:rPr>
  </w:style>
  <w:style w:type="paragraph" w:styleId="TOCHeading">
    <w:name w:val="TOC Heading"/>
    <w:basedOn w:val="Heading1"/>
    <w:next w:val="Normal"/>
    <w:uiPriority w:val="39"/>
    <w:semiHidden/>
    <w:unhideWhenUsed/>
    <w:qFormat/>
    <w:rsid w:val="007D1CF1"/>
    <w:pPr>
      <w:keepLines/>
      <w:spacing w:before="240" w:after="0" w:line="240" w:lineRule="exact"/>
      <w:outlineLvl w:val="9"/>
    </w:pPr>
    <w:rPr>
      <w:rFonts w:asciiTheme="majorHAnsi" w:eastAsiaTheme="majorEastAsia" w:hAnsiTheme="majorHAnsi" w:cstheme="majorBidi"/>
      <w:b w:val="0"/>
      <w:color w:val="024A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57">
      <w:bodyDiv w:val="1"/>
      <w:marLeft w:val="0"/>
      <w:marRight w:val="0"/>
      <w:marTop w:val="0"/>
      <w:marBottom w:val="0"/>
      <w:divBdr>
        <w:top w:val="none" w:sz="0" w:space="0" w:color="auto"/>
        <w:left w:val="none" w:sz="0" w:space="0" w:color="auto"/>
        <w:bottom w:val="none" w:sz="0" w:space="0" w:color="auto"/>
        <w:right w:val="none" w:sz="0" w:space="0" w:color="auto"/>
      </w:divBdr>
    </w:div>
    <w:div w:id="9458019">
      <w:bodyDiv w:val="1"/>
      <w:marLeft w:val="0"/>
      <w:marRight w:val="0"/>
      <w:marTop w:val="0"/>
      <w:marBottom w:val="0"/>
      <w:divBdr>
        <w:top w:val="none" w:sz="0" w:space="0" w:color="auto"/>
        <w:left w:val="none" w:sz="0" w:space="0" w:color="auto"/>
        <w:bottom w:val="none" w:sz="0" w:space="0" w:color="auto"/>
        <w:right w:val="none" w:sz="0" w:space="0" w:color="auto"/>
      </w:divBdr>
    </w:div>
    <w:div w:id="68503910">
      <w:bodyDiv w:val="1"/>
      <w:marLeft w:val="0"/>
      <w:marRight w:val="0"/>
      <w:marTop w:val="0"/>
      <w:marBottom w:val="0"/>
      <w:divBdr>
        <w:top w:val="none" w:sz="0" w:space="0" w:color="auto"/>
        <w:left w:val="none" w:sz="0" w:space="0" w:color="auto"/>
        <w:bottom w:val="none" w:sz="0" w:space="0" w:color="auto"/>
        <w:right w:val="none" w:sz="0" w:space="0" w:color="auto"/>
      </w:divBdr>
    </w:div>
    <w:div w:id="69665276">
      <w:bodyDiv w:val="1"/>
      <w:marLeft w:val="0"/>
      <w:marRight w:val="0"/>
      <w:marTop w:val="0"/>
      <w:marBottom w:val="0"/>
      <w:divBdr>
        <w:top w:val="none" w:sz="0" w:space="0" w:color="auto"/>
        <w:left w:val="none" w:sz="0" w:space="0" w:color="auto"/>
        <w:bottom w:val="none" w:sz="0" w:space="0" w:color="auto"/>
        <w:right w:val="none" w:sz="0" w:space="0" w:color="auto"/>
      </w:divBdr>
    </w:div>
    <w:div w:id="142939908">
      <w:bodyDiv w:val="1"/>
      <w:marLeft w:val="0"/>
      <w:marRight w:val="0"/>
      <w:marTop w:val="0"/>
      <w:marBottom w:val="0"/>
      <w:divBdr>
        <w:top w:val="none" w:sz="0" w:space="0" w:color="auto"/>
        <w:left w:val="none" w:sz="0" w:space="0" w:color="auto"/>
        <w:bottom w:val="none" w:sz="0" w:space="0" w:color="auto"/>
        <w:right w:val="none" w:sz="0" w:space="0" w:color="auto"/>
      </w:divBdr>
    </w:div>
    <w:div w:id="145245780">
      <w:bodyDiv w:val="1"/>
      <w:marLeft w:val="0"/>
      <w:marRight w:val="0"/>
      <w:marTop w:val="0"/>
      <w:marBottom w:val="0"/>
      <w:divBdr>
        <w:top w:val="none" w:sz="0" w:space="0" w:color="auto"/>
        <w:left w:val="none" w:sz="0" w:space="0" w:color="auto"/>
        <w:bottom w:val="none" w:sz="0" w:space="0" w:color="auto"/>
        <w:right w:val="none" w:sz="0" w:space="0" w:color="auto"/>
      </w:divBdr>
    </w:div>
    <w:div w:id="199435055">
      <w:bodyDiv w:val="1"/>
      <w:marLeft w:val="0"/>
      <w:marRight w:val="0"/>
      <w:marTop w:val="0"/>
      <w:marBottom w:val="0"/>
      <w:divBdr>
        <w:top w:val="none" w:sz="0" w:space="0" w:color="auto"/>
        <w:left w:val="none" w:sz="0" w:space="0" w:color="auto"/>
        <w:bottom w:val="none" w:sz="0" w:space="0" w:color="auto"/>
        <w:right w:val="none" w:sz="0" w:space="0" w:color="auto"/>
      </w:divBdr>
    </w:div>
    <w:div w:id="231736297">
      <w:bodyDiv w:val="1"/>
      <w:marLeft w:val="0"/>
      <w:marRight w:val="0"/>
      <w:marTop w:val="0"/>
      <w:marBottom w:val="0"/>
      <w:divBdr>
        <w:top w:val="none" w:sz="0" w:space="0" w:color="auto"/>
        <w:left w:val="none" w:sz="0" w:space="0" w:color="auto"/>
        <w:bottom w:val="none" w:sz="0" w:space="0" w:color="auto"/>
        <w:right w:val="none" w:sz="0" w:space="0" w:color="auto"/>
      </w:divBdr>
    </w:div>
    <w:div w:id="242186094">
      <w:bodyDiv w:val="1"/>
      <w:marLeft w:val="0"/>
      <w:marRight w:val="0"/>
      <w:marTop w:val="0"/>
      <w:marBottom w:val="0"/>
      <w:divBdr>
        <w:top w:val="none" w:sz="0" w:space="0" w:color="auto"/>
        <w:left w:val="none" w:sz="0" w:space="0" w:color="auto"/>
        <w:bottom w:val="none" w:sz="0" w:space="0" w:color="auto"/>
        <w:right w:val="none" w:sz="0" w:space="0" w:color="auto"/>
      </w:divBdr>
    </w:div>
    <w:div w:id="253830213">
      <w:bodyDiv w:val="1"/>
      <w:marLeft w:val="0"/>
      <w:marRight w:val="0"/>
      <w:marTop w:val="0"/>
      <w:marBottom w:val="0"/>
      <w:divBdr>
        <w:top w:val="none" w:sz="0" w:space="0" w:color="auto"/>
        <w:left w:val="none" w:sz="0" w:space="0" w:color="auto"/>
        <w:bottom w:val="none" w:sz="0" w:space="0" w:color="auto"/>
        <w:right w:val="none" w:sz="0" w:space="0" w:color="auto"/>
      </w:divBdr>
    </w:div>
    <w:div w:id="289283308">
      <w:bodyDiv w:val="1"/>
      <w:marLeft w:val="0"/>
      <w:marRight w:val="0"/>
      <w:marTop w:val="0"/>
      <w:marBottom w:val="0"/>
      <w:divBdr>
        <w:top w:val="none" w:sz="0" w:space="0" w:color="auto"/>
        <w:left w:val="none" w:sz="0" w:space="0" w:color="auto"/>
        <w:bottom w:val="none" w:sz="0" w:space="0" w:color="auto"/>
        <w:right w:val="none" w:sz="0" w:space="0" w:color="auto"/>
      </w:divBdr>
    </w:div>
    <w:div w:id="293802899">
      <w:bodyDiv w:val="1"/>
      <w:marLeft w:val="0"/>
      <w:marRight w:val="0"/>
      <w:marTop w:val="0"/>
      <w:marBottom w:val="0"/>
      <w:divBdr>
        <w:top w:val="none" w:sz="0" w:space="0" w:color="auto"/>
        <w:left w:val="none" w:sz="0" w:space="0" w:color="auto"/>
        <w:bottom w:val="none" w:sz="0" w:space="0" w:color="auto"/>
        <w:right w:val="none" w:sz="0" w:space="0" w:color="auto"/>
      </w:divBdr>
    </w:div>
    <w:div w:id="330528817">
      <w:bodyDiv w:val="1"/>
      <w:marLeft w:val="0"/>
      <w:marRight w:val="0"/>
      <w:marTop w:val="0"/>
      <w:marBottom w:val="0"/>
      <w:divBdr>
        <w:top w:val="none" w:sz="0" w:space="0" w:color="auto"/>
        <w:left w:val="none" w:sz="0" w:space="0" w:color="auto"/>
        <w:bottom w:val="none" w:sz="0" w:space="0" w:color="auto"/>
        <w:right w:val="none" w:sz="0" w:space="0" w:color="auto"/>
      </w:divBdr>
    </w:div>
    <w:div w:id="346366426">
      <w:bodyDiv w:val="1"/>
      <w:marLeft w:val="0"/>
      <w:marRight w:val="0"/>
      <w:marTop w:val="0"/>
      <w:marBottom w:val="0"/>
      <w:divBdr>
        <w:top w:val="none" w:sz="0" w:space="0" w:color="auto"/>
        <w:left w:val="none" w:sz="0" w:space="0" w:color="auto"/>
        <w:bottom w:val="none" w:sz="0" w:space="0" w:color="auto"/>
        <w:right w:val="none" w:sz="0" w:space="0" w:color="auto"/>
      </w:divBdr>
    </w:div>
    <w:div w:id="358698204">
      <w:bodyDiv w:val="1"/>
      <w:marLeft w:val="0"/>
      <w:marRight w:val="0"/>
      <w:marTop w:val="0"/>
      <w:marBottom w:val="0"/>
      <w:divBdr>
        <w:top w:val="none" w:sz="0" w:space="0" w:color="auto"/>
        <w:left w:val="none" w:sz="0" w:space="0" w:color="auto"/>
        <w:bottom w:val="none" w:sz="0" w:space="0" w:color="auto"/>
        <w:right w:val="none" w:sz="0" w:space="0" w:color="auto"/>
      </w:divBdr>
    </w:div>
    <w:div w:id="436145884">
      <w:bodyDiv w:val="1"/>
      <w:marLeft w:val="0"/>
      <w:marRight w:val="0"/>
      <w:marTop w:val="0"/>
      <w:marBottom w:val="0"/>
      <w:divBdr>
        <w:top w:val="none" w:sz="0" w:space="0" w:color="auto"/>
        <w:left w:val="none" w:sz="0" w:space="0" w:color="auto"/>
        <w:bottom w:val="none" w:sz="0" w:space="0" w:color="auto"/>
        <w:right w:val="none" w:sz="0" w:space="0" w:color="auto"/>
      </w:divBdr>
    </w:div>
    <w:div w:id="440296413">
      <w:bodyDiv w:val="1"/>
      <w:marLeft w:val="0"/>
      <w:marRight w:val="0"/>
      <w:marTop w:val="0"/>
      <w:marBottom w:val="0"/>
      <w:divBdr>
        <w:top w:val="none" w:sz="0" w:space="0" w:color="auto"/>
        <w:left w:val="none" w:sz="0" w:space="0" w:color="auto"/>
        <w:bottom w:val="none" w:sz="0" w:space="0" w:color="auto"/>
        <w:right w:val="none" w:sz="0" w:space="0" w:color="auto"/>
      </w:divBdr>
    </w:div>
    <w:div w:id="469249120">
      <w:bodyDiv w:val="1"/>
      <w:marLeft w:val="0"/>
      <w:marRight w:val="0"/>
      <w:marTop w:val="0"/>
      <w:marBottom w:val="0"/>
      <w:divBdr>
        <w:top w:val="none" w:sz="0" w:space="0" w:color="auto"/>
        <w:left w:val="none" w:sz="0" w:space="0" w:color="auto"/>
        <w:bottom w:val="none" w:sz="0" w:space="0" w:color="auto"/>
        <w:right w:val="none" w:sz="0" w:space="0" w:color="auto"/>
      </w:divBdr>
    </w:div>
    <w:div w:id="473563985">
      <w:bodyDiv w:val="1"/>
      <w:marLeft w:val="0"/>
      <w:marRight w:val="0"/>
      <w:marTop w:val="0"/>
      <w:marBottom w:val="0"/>
      <w:divBdr>
        <w:top w:val="none" w:sz="0" w:space="0" w:color="auto"/>
        <w:left w:val="none" w:sz="0" w:space="0" w:color="auto"/>
        <w:bottom w:val="none" w:sz="0" w:space="0" w:color="auto"/>
        <w:right w:val="none" w:sz="0" w:space="0" w:color="auto"/>
      </w:divBdr>
    </w:div>
    <w:div w:id="519898491">
      <w:bodyDiv w:val="1"/>
      <w:marLeft w:val="0"/>
      <w:marRight w:val="0"/>
      <w:marTop w:val="0"/>
      <w:marBottom w:val="0"/>
      <w:divBdr>
        <w:top w:val="none" w:sz="0" w:space="0" w:color="auto"/>
        <w:left w:val="none" w:sz="0" w:space="0" w:color="auto"/>
        <w:bottom w:val="none" w:sz="0" w:space="0" w:color="auto"/>
        <w:right w:val="none" w:sz="0" w:space="0" w:color="auto"/>
      </w:divBdr>
    </w:div>
    <w:div w:id="528377091">
      <w:bodyDiv w:val="1"/>
      <w:marLeft w:val="0"/>
      <w:marRight w:val="0"/>
      <w:marTop w:val="0"/>
      <w:marBottom w:val="0"/>
      <w:divBdr>
        <w:top w:val="none" w:sz="0" w:space="0" w:color="auto"/>
        <w:left w:val="none" w:sz="0" w:space="0" w:color="auto"/>
        <w:bottom w:val="none" w:sz="0" w:space="0" w:color="auto"/>
        <w:right w:val="none" w:sz="0" w:space="0" w:color="auto"/>
      </w:divBdr>
    </w:div>
    <w:div w:id="570889939">
      <w:bodyDiv w:val="1"/>
      <w:marLeft w:val="0"/>
      <w:marRight w:val="0"/>
      <w:marTop w:val="0"/>
      <w:marBottom w:val="0"/>
      <w:divBdr>
        <w:top w:val="none" w:sz="0" w:space="0" w:color="auto"/>
        <w:left w:val="none" w:sz="0" w:space="0" w:color="auto"/>
        <w:bottom w:val="none" w:sz="0" w:space="0" w:color="auto"/>
        <w:right w:val="none" w:sz="0" w:space="0" w:color="auto"/>
      </w:divBdr>
    </w:div>
    <w:div w:id="572931986">
      <w:bodyDiv w:val="1"/>
      <w:marLeft w:val="0"/>
      <w:marRight w:val="0"/>
      <w:marTop w:val="0"/>
      <w:marBottom w:val="0"/>
      <w:divBdr>
        <w:top w:val="none" w:sz="0" w:space="0" w:color="auto"/>
        <w:left w:val="none" w:sz="0" w:space="0" w:color="auto"/>
        <w:bottom w:val="none" w:sz="0" w:space="0" w:color="auto"/>
        <w:right w:val="none" w:sz="0" w:space="0" w:color="auto"/>
      </w:divBdr>
    </w:div>
    <w:div w:id="573442068">
      <w:bodyDiv w:val="1"/>
      <w:marLeft w:val="0"/>
      <w:marRight w:val="0"/>
      <w:marTop w:val="0"/>
      <w:marBottom w:val="0"/>
      <w:divBdr>
        <w:top w:val="none" w:sz="0" w:space="0" w:color="auto"/>
        <w:left w:val="none" w:sz="0" w:space="0" w:color="auto"/>
        <w:bottom w:val="none" w:sz="0" w:space="0" w:color="auto"/>
        <w:right w:val="none" w:sz="0" w:space="0" w:color="auto"/>
      </w:divBdr>
    </w:div>
    <w:div w:id="589317735">
      <w:bodyDiv w:val="1"/>
      <w:marLeft w:val="0"/>
      <w:marRight w:val="0"/>
      <w:marTop w:val="0"/>
      <w:marBottom w:val="0"/>
      <w:divBdr>
        <w:top w:val="none" w:sz="0" w:space="0" w:color="auto"/>
        <w:left w:val="none" w:sz="0" w:space="0" w:color="auto"/>
        <w:bottom w:val="none" w:sz="0" w:space="0" w:color="auto"/>
        <w:right w:val="none" w:sz="0" w:space="0" w:color="auto"/>
      </w:divBdr>
      <w:divsChild>
        <w:div w:id="1636448094">
          <w:marLeft w:val="0"/>
          <w:marRight w:val="0"/>
          <w:marTop w:val="0"/>
          <w:marBottom w:val="0"/>
          <w:divBdr>
            <w:top w:val="none" w:sz="0" w:space="0" w:color="auto"/>
            <w:left w:val="none" w:sz="0" w:space="0" w:color="auto"/>
            <w:bottom w:val="none" w:sz="0" w:space="0" w:color="auto"/>
            <w:right w:val="none" w:sz="0" w:space="0" w:color="auto"/>
          </w:divBdr>
        </w:div>
      </w:divsChild>
    </w:div>
    <w:div w:id="590512021">
      <w:bodyDiv w:val="1"/>
      <w:marLeft w:val="0"/>
      <w:marRight w:val="0"/>
      <w:marTop w:val="0"/>
      <w:marBottom w:val="0"/>
      <w:divBdr>
        <w:top w:val="none" w:sz="0" w:space="0" w:color="auto"/>
        <w:left w:val="none" w:sz="0" w:space="0" w:color="auto"/>
        <w:bottom w:val="none" w:sz="0" w:space="0" w:color="auto"/>
        <w:right w:val="none" w:sz="0" w:space="0" w:color="auto"/>
      </w:divBdr>
    </w:div>
    <w:div w:id="617180877">
      <w:bodyDiv w:val="1"/>
      <w:marLeft w:val="0"/>
      <w:marRight w:val="0"/>
      <w:marTop w:val="0"/>
      <w:marBottom w:val="0"/>
      <w:divBdr>
        <w:top w:val="none" w:sz="0" w:space="0" w:color="auto"/>
        <w:left w:val="none" w:sz="0" w:space="0" w:color="auto"/>
        <w:bottom w:val="none" w:sz="0" w:space="0" w:color="auto"/>
        <w:right w:val="none" w:sz="0" w:space="0" w:color="auto"/>
      </w:divBdr>
    </w:div>
    <w:div w:id="636298625">
      <w:bodyDiv w:val="1"/>
      <w:marLeft w:val="0"/>
      <w:marRight w:val="0"/>
      <w:marTop w:val="0"/>
      <w:marBottom w:val="0"/>
      <w:divBdr>
        <w:top w:val="none" w:sz="0" w:space="0" w:color="auto"/>
        <w:left w:val="none" w:sz="0" w:space="0" w:color="auto"/>
        <w:bottom w:val="none" w:sz="0" w:space="0" w:color="auto"/>
        <w:right w:val="none" w:sz="0" w:space="0" w:color="auto"/>
      </w:divBdr>
    </w:div>
    <w:div w:id="642276801">
      <w:bodyDiv w:val="1"/>
      <w:marLeft w:val="0"/>
      <w:marRight w:val="0"/>
      <w:marTop w:val="0"/>
      <w:marBottom w:val="0"/>
      <w:divBdr>
        <w:top w:val="none" w:sz="0" w:space="0" w:color="auto"/>
        <w:left w:val="none" w:sz="0" w:space="0" w:color="auto"/>
        <w:bottom w:val="none" w:sz="0" w:space="0" w:color="auto"/>
        <w:right w:val="none" w:sz="0" w:space="0" w:color="auto"/>
      </w:divBdr>
    </w:div>
    <w:div w:id="657926911">
      <w:bodyDiv w:val="1"/>
      <w:marLeft w:val="0"/>
      <w:marRight w:val="0"/>
      <w:marTop w:val="0"/>
      <w:marBottom w:val="0"/>
      <w:divBdr>
        <w:top w:val="none" w:sz="0" w:space="0" w:color="auto"/>
        <w:left w:val="none" w:sz="0" w:space="0" w:color="auto"/>
        <w:bottom w:val="none" w:sz="0" w:space="0" w:color="auto"/>
        <w:right w:val="none" w:sz="0" w:space="0" w:color="auto"/>
      </w:divBdr>
    </w:div>
    <w:div w:id="666438458">
      <w:bodyDiv w:val="1"/>
      <w:marLeft w:val="0"/>
      <w:marRight w:val="0"/>
      <w:marTop w:val="0"/>
      <w:marBottom w:val="0"/>
      <w:divBdr>
        <w:top w:val="none" w:sz="0" w:space="0" w:color="auto"/>
        <w:left w:val="none" w:sz="0" w:space="0" w:color="auto"/>
        <w:bottom w:val="none" w:sz="0" w:space="0" w:color="auto"/>
        <w:right w:val="none" w:sz="0" w:space="0" w:color="auto"/>
      </w:divBdr>
    </w:div>
    <w:div w:id="754283568">
      <w:bodyDiv w:val="1"/>
      <w:marLeft w:val="0"/>
      <w:marRight w:val="0"/>
      <w:marTop w:val="0"/>
      <w:marBottom w:val="0"/>
      <w:divBdr>
        <w:top w:val="none" w:sz="0" w:space="0" w:color="auto"/>
        <w:left w:val="none" w:sz="0" w:space="0" w:color="auto"/>
        <w:bottom w:val="none" w:sz="0" w:space="0" w:color="auto"/>
        <w:right w:val="none" w:sz="0" w:space="0" w:color="auto"/>
      </w:divBdr>
    </w:div>
    <w:div w:id="775102358">
      <w:bodyDiv w:val="1"/>
      <w:marLeft w:val="0"/>
      <w:marRight w:val="0"/>
      <w:marTop w:val="0"/>
      <w:marBottom w:val="0"/>
      <w:divBdr>
        <w:top w:val="none" w:sz="0" w:space="0" w:color="auto"/>
        <w:left w:val="none" w:sz="0" w:space="0" w:color="auto"/>
        <w:bottom w:val="none" w:sz="0" w:space="0" w:color="auto"/>
        <w:right w:val="none" w:sz="0" w:space="0" w:color="auto"/>
      </w:divBdr>
    </w:div>
    <w:div w:id="806633145">
      <w:bodyDiv w:val="1"/>
      <w:marLeft w:val="0"/>
      <w:marRight w:val="0"/>
      <w:marTop w:val="0"/>
      <w:marBottom w:val="0"/>
      <w:divBdr>
        <w:top w:val="none" w:sz="0" w:space="0" w:color="auto"/>
        <w:left w:val="none" w:sz="0" w:space="0" w:color="auto"/>
        <w:bottom w:val="none" w:sz="0" w:space="0" w:color="auto"/>
        <w:right w:val="none" w:sz="0" w:space="0" w:color="auto"/>
      </w:divBdr>
    </w:div>
    <w:div w:id="816605490">
      <w:bodyDiv w:val="1"/>
      <w:marLeft w:val="0"/>
      <w:marRight w:val="0"/>
      <w:marTop w:val="0"/>
      <w:marBottom w:val="0"/>
      <w:divBdr>
        <w:top w:val="none" w:sz="0" w:space="0" w:color="auto"/>
        <w:left w:val="none" w:sz="0" w:space="0" w:color="auto"/>
        <w:bottom w:val="none" w:sz="0" w:space="0" w:color="auto"/>
        <w:right w:val="none" w:sz="0" w:space="0" w:color="auto"/>
      </w:divBdr>
    </w:div>
    <w:div w:id="825317453">
      <w:bodyDiv w:val="1"/>
      <w:marLeft w:val="0"/>
      <w:marRight w:val="0"/>
      <w:marTop w:val="0"/>
      <w:marBottom w:val="0"/>
      <w:divBdr>
        <w:top w:val="none" w:sz="0" w:space="0" w:color="auto"/>
        <w:left w:val="none" w:sz="0" w:space="0" w:color="auto"/>
        <w:bottom w:val="none" w:sz="0" w:space="0" w:color="auto"/>
        <w:right w:val="none" w:sz="0" w:space="0" w:color="auto"/>
      </w:divBdr>
    </w:div>
    <w:div w:id="825512429">
      <w:bodyDiv w:val="1"/>
      <w:marLeft w:val="0"/>
      <w:marRight w:val="0"/>
      <w:marTop w:val="0"/>
      <w:marBottom w:val="0"/>
      <w:divBdr>
        <w:top w:val="none" w:sz="0" w:space="0" w:color="auto"/>
        <w:left w:val="none" w:sz="0" w:space="0" w:color="auto"/>
        <w:bottom w:val="none" w:sz="0" w:space="0" w:color="auto"/>
        <w:right w:val="none" w:sz="0" w:space="0" w:color="auto"/>
      </w:divBdr>
    </w:div>
    <w:div w:id="860164091">
      <w:bodyDiv w:val="1"/>
      <w:marLeft w:val="0"/>
      <w:marRight w:val="0"/>
      <w:marTop w:val="0"/>
      <w:marBottom w:val="0"/>
      <w:divBdr>
        <w:top w:val="none" w:sz="0" w:space="0" w:color="auto"/>
        <w:left w:val="none" w:sz="0" w:space="0" w:color="auto"/>
        <w:bottom w:val="none" w:sz="0" w:space="0" w:color="auto"/>
        <w:right w:val="none" w:sz="0" w:space="0" w:color="auto"/>
      </w:divBdr>
    </w:div>
    <w:div w:id="861432121">
      <w:bodyDiv w:val="1"/>
      <w:marLeft w:val="0"/>
      <w:marRight w:val="0"/>
      <w:marTop w:val="0"/>
      <w:marBottom w:val="0"/>
      <w:divBdr>
        <w:top w:val="none" w:sz="0" w:space="0" w:color="auto"/>
        <w:left w:val="none" w:sz="0" w:space="0" w:color="auto"/>
        <w:bottom w:val="none" w:sz="0" w:space="0" w:color="auto"/>
        <w:right w:val="none" w:sz="0" w:space="0" w:color="auto"/>
      </w:divBdr>
    </w:div>
    <w:div w:id="885070307">
      <w:bodyDiv w:val="1"/>
      <w:marLeft w:val="0"/>
      <w:marRight w:val="0"/>
      <w:marTop w:val="0"/>
      <w:marBottom w:val="0"/>
      <w:divBdr>
        <w:top w:val="none" w:sz="0" w:space="0" w:color="auto"/>
        <w:left w:val="none" w:sz="0" w:space="0" w:color="auto"/>
        <w:bottom w:val="none" w:sz="0" w:space="0" w:color="auto"/>
        <w:right w:val="none" w:sz="0" w:space="0" w:color="auto"/>
      </w:divBdr>
    </w:div>
    <w:div w:id="932054822">
      <w:bodyDiv w:val="1"/>
      <w:marLeft w:val="0"/>
      <w:marRight w:val="0"/>
      <w:marTop w:val="0"/>
      <w:marBottom w:val="0"/>
      <w:divBdr>
        <w:top w:val="none" w:sz="0" w:space="0" w:color="auto"/>
        <w:left w:val="none" w:sz="0" w:space="0" w:color="auto"/>
        <w:bottom w:val="none" w:sz="0" w:space="0" w:color="auto"/>
        <w:right w:val="none" w:sz="0" w:space="0" w:color="auto"/>
      </w:divBdr>
    </w:div>
    <w:div w:id="944462797">
      <w:bodyDiv w:val="1"/>
      <w:marLeft w:val="0"/>
      <w:marRight w:val="0"/>
      <w:marTop w:val="0"/>
      <w:marBottom w:val="0"/>
      <w:divBdr>
        <w:top w:val="none" w:sz="0" w:space="0" w:color="auto"/>
        <w:left w:val="none" w:sz="0" w:space="0" w:color="auto"/>
        <w:bottom w:val="none" w:sz="0" w:space="0" w:color="auto"/>
        <w:right w:val="none" w:sz="0" w:space="0" w:color="auto"/>
      </w:divBdr>
    </w:div>
    <w:div w:id="946690885">
      <w:bodyDiv w:val="1"/>
      <w:marLeft w:val="0"/>
      <w:marRight w:val="0"/>
      <w:marTop w:val="0"/>
      <w:marBottom w:val="0"/>
      <w:divBdr>
        <w:top w:val="none" w:sz="0" w:space="0" w:color="auto"/>
        <w:left w:val="none" w:sz="0" w:space="0" w:color="auto"/>
        <w:bottom w:val="none" w:sz="0" w:space="0" w:color="auto"/>
        <w:right w:val="none" w:sz="0" w:space="0" w:color="auto"/>
      </w:divBdr>
    </w:div>
    <w:div w:id="988946096">
      <w:bodyDiv w:val="1"/>
      <w:marLeft w:val="0"/>
      <w:marRight w:val="0"/>
      <w:marTop w:val="0"/>
      <w:marBottom w:val="0"/>
      <w:divBdr>
        <w:top w:val="none" w:sz="0" w:space="0" w:color="auto"/>
        <w:left w:val="none" w:sz="0" w:space="0" w:color="auto"/>
        <w:bottom w:val="none" w:sz="0" w:space="0" w:color="auto"/>
        <w:right w:val="none" w:sz="0" w:space="0" w:color="auto"/>
      </w:divBdr>
    </w:div>
    <w:div w:id="993491558">
      <w:bodyDiv w:val="1"/>
      <w:marLeft w:val="0"/>
      <w:marRight w:val="0"/>
      <w:marTop w:val="0"/>
      <w:marBottom w:val="0"/>
      <w:divBdr>
        <w:top w:val="none" w:sz="0" w:space="0" w:color="auto"/>
        <w:left w:val="none" w:sz="0" w:space="0" w:color="auto"/>
        <w:bottom w:val="none" w:sz="0" w:space="0" w:color="auto"/>
        <w:right w:val="none" w:sz="0" w:space="0" w:color="auto"/>
      </w:divBdr>
    </w:div>
    <w:div w:id="1018584778">
      <w:bodyDiv w:val="1"/>
      <w:marLeft w:val="0"/>
      <w:marRight w:val="0"/>
      <w:marTop w:val="0"/>
      <w:marBottom w:val="0"/>
      <w:divBdr>
        <w:top w:val="none" w:sz="0" w:space="0" w:color="auto"/>
        <w:left w:val="none" w:sz="0" w:space="0" w:color="auto"/>
        <w:bottom w:val="none" w:sz="0" w:space="0" w:color="auto"/>
        <w:right w:val="none" w:sz="0" w:space="0" w:color="auto"/>
      </w:divBdr>
    </w:div>
    <w:div w:id="1025322808">
      <w:bodyDiv w:val="1"/>
      <w:marLeft w:val="0"/>
      <w:marRight w:val="0"/>
      <w:marTop w:val="0"/>
      <w:marBottom w:val="0"/>
      <w:divBdr>
        <w:top w:val="none" w:sz="0" w:space="0" w:color="auto"/>
        <w:left w:val="none" w:sz="0" w:space="0" w:color="auto"/>
        <w:bottom w:val="none" w:sz="0" w:space="0" w:color="auto"/>
        <w:right w:val="none" w:sz="0" w:space="0" w:color="auto"/>
      </w:divBdr>
    </w:div>
    <w:div w:id="1046754257">
      <w:bodyDiv w:val="1"/>
      <w:marLeft w:val="0"/>
      <w:marRight w:val="0"/>
      <w:marTop w:val="0"/>
      <w:marBottom w:val="0"/>
      <w:divBdr>
        <w:top w:val="none" w:sz="0" w:space="0" w:color="auto"/>
        <w:left w:val="none" w:sz="0" w:space="0" w:color="auto"/>
        <w:bottom w:val="none" w:sz="0" w:space="0" w:color="auto"/>
        <w:right w:val="none" w:sz="0" w:space="0" w:color="auto"/>
      </w:divBdr>
    </w:div>
    <w:div w:id="1049304867">
      <w:bodyDiv w:val="1"/>
      <w:marLeft w:val="0"/>
      <w:marRight w:val="0"/>
      <w:marTop w:val="0"/>
      <w:marBottom w:val="0"/>
      <w:divBdr>
        <w:top w:val="none" w:sz="0" w:space="0" w:color="auto"/>
        <w:left w:val="none" w:sz="0" w:space="0" w:color="auto"/>
        <w:bottom w:val="none" w:sz="0" w:space="0" w:color="auto"/>
        <w:right w:val="none" w:sz="0" w:space="0" w:color="auto"/>
      </w:divBdr>
    </w:div>
    <w:div w:id="1060444519">
      <w:bodyDiv w:val="1"/>
      <w:marLeft w:val="0"/>
      <w:marRight w:val="0"/>
      <w:marTop w:val="0"/>
      <w:marBottom w:val="0"/>
      <w:divBdr>
        <w:top w:val="none" w:sz="0" w:space="0" w:color="auto"/>
        <w:left w:val="none" w:sz="0" w:space="0" w:color="auto"/>
        <w:bottom w:val="none" w:sz="0" w:space="0" w:color="auto"/>
        <w:right w:val="none" w:sz="0" w:space="0" w:color="auto"/>
      </w:divBdr>
    </w:div>
    <w:div w:id="1111509688">
      <w:bodyDiv w:val="1"/>
      <w:marLeft w:val="0"/>
      <w:marRight w:val="0"/>
      <w:marTop w:val="0"/>
      <w:marBottom w:val="0"/>
      <w:divBdr>
        <w:top w:val="none" w:sz="0" w:space="0" w:color="auto"/>
        <w:left w:val="none" w:sz="0" w:space="0" w:color="auto"/>
        <w:bottom w:val="none" w:sz="0" w:space="0" w:color="auto"/>
        <w:right w:val="none" w:sz="0" w:space="0" w:color="auto"/>
      </w:divBdr>
    </w:div>
    <w:div w:id="1112822428">
      <w:bodyDiv w:val="1"/>
      <w:marLeft w:val="0"/>
      <w:marRight w:val="0"/>
      <w:marTop w:val="0"/>
      <w:marBottom w:val="0"/>
      <w:divBdr>
        <w:top w:val="none" w:sz="0" w:space="0" w:color="auto"/>
        <w:left w:val="none" w:sz="0" w:space="0" w:color="auto"/>
        <w:bottom w:val="none" w:sz="0" w:space="0" w:color="auto"/>
        <w:right w:val="none" w:sz="0" w:space="0" w:color="auto"/>
      </w:divBdr>
    </w:div>
    <w:div w:id="1115252790">
      <w:bodyDiv w:val="1"/>
      <w:marLeft w:val="0"/>
      <w:marRight w:val="0"/>
      <w:marTop w:val="0"/>
      <w:marBottom w:val="0"/>
      <w:divBdr>
        <w:top w:val="none" w:sz="0" w:space="0" w:color="auto"/>
        <w:left w:val="none" w:sz="0" w:space="0" w:color="auto"/>
        <w:bottom w:val="none" w:sz="0" w:space="0" w:color="auto"/>
        <w:right w:val="none" w:sz="0" w:space="0" w:color="auto"/>
      </w:divBdr>
    </w:div>
    <w:div w:id="1127702492">
      <w:bodyDiv w:val="1"/>
      <w:marLeft w:val="0"/>
      <w:marRight w:val="0"/>
      <w:marTop w:val="0"/>
      <w:marBottom w:val="0"/>
      <w:divBdr>
        <w:top w:val="none" w:sz="0" w:space="0" w:color="auto"/>
        <w:left w:val="none" w:sz="0" w:space="0" w:color="auto"/>
        <w:bottom w:val="none" w:sz="0" w:space="0" w:color="auto"/>
        <w:right w:val="none" w:sz="0" w:space="0" w:color="auto"/>
      </w:divBdr>
    </w:div>
    <w:div w:id="1172260675">
      <w:bodyDiv w:val="1"/>
      <w:marLeft w:val="0"/>
      <w:marRight w:val="0"/>
      <w:marTop w:val="0"/>
      <w:marBottom w:val="0"/>
      <w:divBdr>
        <w:top w:val="none" w:sz="0" w:space="0" w:color="auto"/>
        <w:left w:val="none" w:sz="0" w:space="0" w:color="auto"/>
        <w:bottom w:val="none" w:sz="0" w:space="0" w:color="auto"/>
        <w:right w:val="none" w:sz="0" w:space="0" w:color="auto"/>
      </w:divBdr>
    </w:div>
    <w:div w:id="1174876714">
      <w:bodyDiv w:val="1"/>
      <w:marLeft w:val="0"/>
      <w:marRight w:val="0"/>
      <w:marTop w:val="0"/>
      <w:marBottom w:val="0"/>
      <w:divBdr>
        <w:top w:val="none" w:sz="0" w:space="0" w:color="auto"/>
        <w:left w:val="none" w:sz="0" w:space="0" w:color="auto"/>
        <w:bottom w:val="none" w:sz="0" w:space="0" w:color="auto"/>
        <w:right w:val="none" w:sz="0" w:space="0" w:color="auto"/>
      </w:divBdr>
    </w:div>
    <w:div w:id="119002380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8421127">
      <w:bodyDiv w:val="1"/>
      <w:marLeft w:val="0"/>
      <w:marRight w:val="0"/>
      <w:marTop w:val="0"/>
      <w:marBottom w:val="0"/>
      <w:divBdr>
        <w:top w:val="none" w:sz="0" w:space="0" w:color="auto"/>
        <w:left w:val="none" w:sz="0" w:space="0" w:color="auto"/>
        <w:bottom w:val="none" w:sz="0" w:space="0" w:color="auto"/>
        <w:right w:val="none" w:sz="0" w:space="0" w:color="auto"/>
      </w:divBdr>
    </w:div>
    <w:div w:id="1214851793">
      <w:bodyDiv w:val="1"/>
      <w:marLeft w:val="0"/>
      <w:marRight w:val="0"/>
      <w:marTop w:val="0"/>
      <w:marBottom w:val="0"/>
      <w:divBdr>
        <w:top w:val="none" w:sz="0" w:space="0" w:color="auto"/>
        <w:left w:val="none" w:sz="0" w:space="0" w:color="auto"/>
        <w:bottom w:val="none" w:sz="0" w:space="0" w:color="auto"/>
        <w:right w:val="none" w:sz="0" w:space="0" w:color="auto"/>
      </w:divBdr>
    </w:div>
    <w:div w:id="1243030638">
      <w:bodyDiv w:val="1"/>
      <w:marLeft w:val="0"/>
      <w:marRight w:val="0"/>
      <w:marTop w:val="0"/>
      <w:marBottom w:val="0"/>
      <w:divBdr>
        <w:top w:val="none" w:sz="0" w:space="0" w:color="auto"/>
        <w:left w:val="none" w:sz="0" w:space="0" w:color="auto"/>
        <w:bottom w:val="none" w:sz="0" w:space="0" w:color="auto"/>
        <w:right w:val="none" w:sz="0" w:space="0" w:color="auto"/>
      </w:divBdr>
    </w:div>
    <w:div w:id="1257328262">
      <w:bodyDiv w:val="1"/>
      <w:marLeft w:val="0"/>
      <w:marRight w:val="0"/>
      <w:marTop w:val="0"/>
      <w:marBottom w:val="0"/>
      <w:divBdr>
        <w:top w:val="none" w:sz="0" w:space="0" w:color="auto"/>
        <w:left w:val="none" w:sz="0" w:space="0" w:color="auto"/>
        <w:bottom w:val="none" w:sz="0" w:space="0" w:color="auto"/>
        <w:right w:val="none" w:sz="0" w:space="0" w:color="auto"/>
      </w:divBdr>
    </w:div>
    <w:div w:id="1273780769">
      <w:bodyDiv w:val="1"/>
      <w:marLeft w:val="0"/>
      <w:marRight w:val="0"/>
      <w:marTop w:val="0"/>
      <w:marBottom w:val="0"/>
      <w:divBdr>
        <w:top w:val="none" w:sz="0" w:space="0" w:color="auto"/>
        <w:left w:val="none" w:sz="0" w:space="0" w:color="auto"/>
        <w:bottom w:val="none" w:sz="0" w:space="0" w:color="auto"/>
        <w:right w:val="none" w:sz="0" w:space="0" w:color="auto"/>
      </w:divBdr>
      <w:divsChild>
        <w:div w:id="342050437">
          <w:marLeft w:val="0"/>
          <w:marRight w:val="0"/>
          <w:marTop w:val="0"/>
          <w:marBottom w:val="0"/>
          <w:divBdr>
            <w:top w:val="none" w:sz="0" w:space="0" w:color="auto"/>
            <w:left w:val="none" w:sz="0" w:space="0" w:color="auto"/>
            <w:bottom w:val="none" w:sz="0" w:space="0" w:color="auto"/>
            <w:right w:val="none" w:sz="0" w:space="0" w:color="auto"/>
          </w:divBdr>
        </w:div>
      </w:divsChild>
    </w:div>
    <w:div w:id="1286698073">
      <w:bodyDiv w:val="1"/>
      <w:marLeft w:val="0"/>
      <w:marRight w:val="0"/>
      <w:marTop w:val="0"/>
      <w:marBottom w:val="0"/>
      <w:divBdr>
        <w:top w:val="none" w:sz="0" w:space="0" w:color="auto"/>
        <w:left w:val="none" w:sz="0" w:space="0" w:color="auto"/>
        <w:bottom w:val="none" w:sz="0" w:space="0" w:color="auto"/>
        <w:right w:val="none" w:sz="0" w:space="0" w:color="auto"/>
      </w:divBdr>
    </w:div>
    <w:div w:id="1287203454">
      <w:bodyDiv w:val="1"/>
      <w:marLeft w:val="0"/>
      <w:marRight w:val="0"/>
      <w:marTop w:val="0"/>
      <w:marBottom w:val="0"/>
      <w:divBdr>
        <w:top w:val="none" w:sz="0" w:space="0" w:color="auto"/>
        <w:left w:val="none" w:sz="0" w:space="0" w:color="auto"/>
        <w:bottom w:val="none" w:sz="0" w:space="0" w:color="auto"/>
        <w:right w:val="none" w:sz="0" w:space="0" w:color="auto"/>
      </w:divBdr>
    </w:div>
    <w:div w:id="1306206772">
      <w:bodyDiv w:val="1"/>
      <w:marLeft w:val="0"/>
      <w:marRight w:val="0"/>
      <w:marTop w:val="0"/>
      <w:marBottom w:val="0"/>
      <w:divBdr>
        <w:top w:val="none" w:sz="0" w:space="0" w:color="auto"/>
        <w:left w:val="none" w:sz="0" w:space="0" w:color="auto"/>
        <w:bottom w:val="none" w:sz="0" w:space="0" w:color="auto"/>
        <w:right w:val="none" w:sz="0" w:space="0" w:color="auto"/>
      </w:divBdr>
    </w:div>
    <w:div w:id="1380057750">
      <w:bodyDiv w:val="1"/>
      <w:marLeft w:val="0"/>
      <w:marRight w:val="0"/>
      <w:marTop w:val="0"/>
      <w:marBottom w:val="0"/>
      <w:divBdr>
        <w:top w:val="none" w:sz="0" w:space="0" w:color="auto"/>
        <w:left w:val="none" w:sz="0" w:space="0" w:color="auto"/>
        <w:bottom w:val="none" w:sz="0" w:space="0" w:color="auto"/>
        <w:right w:val="none" w:sz="0" w:space="0" w:color="auto"/>
      </w:divBdr>
    </w:div>
    <w:div w:id="1400516103">
      <w:bodyDiv w:val="1"/>
      <w:marLeft w:val="0"/>
      <w:marRight w:val="0"/>
      <w:marTop w:val="0"/>
      <w:marBottom w:val="0"/>
      <w:divBdr>
        <w:top w:val="none" w:sz="0" w:space="0" w:color="auto"/>
        <w:left w:val="none" w:sz="0" w:space="0" w:color="auto"/>
        <w:bottom w:val="none" w:sz="0" w:space="0" w:color="auto"/>
        <w:right w:val="none" w:sz="0" w:space="0" w:color="auto"/>
      </w:divBdr>
    </w:div>
    <w:div w:id="1403068640">
      <w:bodyDiv w:val="1"/>
      <w:marLeft w:val="0"/>
      <w:marRight w:val="0"/>
      <w:marTop w:val="0"/>
      <w:marBottom w:val="0"/>
      <w:divBdr>
        <w:top w:val="none" w:sz="0" w:space="0" w:color="auto"/>
        <w:left w:val="none" w:sz="0" w:space="0" w:color="auto"/>
        <w:bottom w:val="none" w:sz="0" w:space="0" w:color="auto"/>
        <w:right w:val="none" w:sz="0" w:space="0" w:color="auto"/>
      </w:divBdr>
      <w:divsChild>
        <w:div w:id="1113666574">
          <w:marLeft w:val="0"/>
          <w:marRight w:val="0"/>
          <w:marTop w:val="0"/>
          <w:marBottom w:val="0"/>
          <w:divBdr>
            <w:top w:val="none" w:sz="0" w:space="0" w:color="auto"/>
            <w:left w:val="none" w:sz="0" w:space="0" w:color="auto"/>
            <w:bottom w:val="none" w:sz="0" w:space="0" w:color="auto"/>
            <w:right w:val="none" w:sz="0" w:space="0" w:color="auto"/>
          </w:divBdr>
        </w:div>
      </w:divsChild>
    </w:div>
    <w:div w:id="1416439592">
      <w:bodyDiv w:val="1"/>
      <w:marLeft w:val="0"/>
      <w:marRight w:val="0"/>
      <w:marTop w:val="0"/>
      <w:marBottom w:val="0"/>
      <w:divBdr>
        <w:top w:val="none" w:sz="0" w:space="0" w:color="auto"/>
        <w:left w:val="none" w:sz="0" w:space="0" w:color="auto"/>
        <w:bottom w:val="none" w:sz="0" w:space="0" w:color="auto"/>
        <w:right w:val="none" w:sz="0" w:space="0" w:color="auto"/>
      </w:divBdr>
    </w:div>
    <w:div w:id="1438058232">
      <w:bodyDiv w:val="1"/>
      <w:marLeft w:val="0"/>
      <w:marRight w:val="0"/>
      <w:marTop w:val="0"/>
      <w:marBottom w:val="0"/>
      <w:divBdr>
        <w:top w:val="none" w:sz="0" w:space="0" w:color="auto"/>
        <w:left w:val="none" w:sz="0" w:space="0" w:color="auto"/>
        <w:bottom w:val="none" w:sz="0" w:space="0" w:color="auto"/>
        <w:right w:val="none" w:sz="0" w:space="0" w:color="auto"/>
      </w:divBdr>
    </w:div>
    <w:div w:id="1447310212">
      <w:bodyDiv w:val="1"/>
      <w:marLeft w:val="0"/>
      <w:marRight w:val="0"/>
      <w:marTop w:val="0"/>
      <w:marBottom w:val="0"/>
      <w:divBdr>
        <w:top w:val="none" w:sz="0" w:space="0" w:color="auto"/>
        <w:left w:val="none" w:sz="0" w:space="0" w:color="auto"/>
        <w:bottom w:val="none" w:sz="0" w:space="0" w:color="auto"/>
        <w:right w:val="none" w:sz="0" w:space="0" w:color="auto"/>
      </w:divBdr>
    </w:div>
    <w:div w:id="1456170618">
      <w:bodyDiv w:val="1"/>
      <w:marLeft w:val="0"/>
      <w:marRight w:val="0"/>
      <w:marTop w:val="0"/>
      <w:marBottom w:val="0"/>
      <w:divBdr>
        <w:top w:val="none" w:sz="0" w:space="0" w:color="auto"/>
        <w:left w:val="none" w:sz="0" w:space="0" w:color="auto"/>
        <w:bottom w:val="none" w:sz="0" w:space="0" w:color="auto"/>
        <w:right w:val="none" w:sz="0" w:space="0" w:color="auto"/>
      </w:divBdr>
    </w:div>
    <w:div w:id="1459571196">
      <w:bodyDiv w:val="1"/>
      <w:marLeft w:val="0"/>
      <w:marRight w:val="0"/>
      <w:marTop w:val="0"/>
      <w:marBottom w:val="0"/>
      <w:divBdr>
        <w:top w:val="none" w:sz="0" w:space="0" w:color="auto"/>
        <w:left w:val="none" w:sz="0" w:space="0" w:color="auto"/>
        <w:bottom w:val="none" w:sz="0" w:space="0" w:color="auto"/>
        <w:right w:val="none" w:sz="0" w:space="0" w:color="auto"/>
      </w:divBdr>
    </w:div>
    <w:div w:id="1469009494">
      <w:bodyDiv w:val="1"/>
      <w:marLeft w:val="0"/>
      <w:marRight w:val="0"/>
      <w:marTop w:val="0"/>
      <w:marBottom w:val="0"/>
      <w:divBdr>
        <w:top w:val="none" w:sz="0" w:space="0" w:color="auto"/>
        <w:left w:val="none" w:sz="0" w:space="0" w:color="auto"/>
        <w:bottom w:val="none" w:sz="0" w:space="0" w:color="auto"/>
        <w:right w:val="none" w:sz="0" w:space="0" w:color="auto"/>
      </w:divBdr>
    </w:div>
    <w:div w:id="1475171826">
      <w:bodyDiv w:val="1"/>
      <w:marLeft w:val="0"/>
      <w:marRight w:val="0"/>
      <w:marTop w:val="0"/>
      <w:marBottom w:val="0"/>
      <w:divBdr>
        <w:top w:val="none" w:sz="0" w:space="0" w:color="auto"/>
        <w:left w:val="none" w:sz="0" w:space="0" w:color="auto"/>
        <w:bottom w:val="none" w:sz="0" w:space="0" w:color="auto"/>
        <w:right w:val="none" w:sz="0" w:space="0" w:color="auto"/>
      </w:divBdr>
    </w:div>
    <w:div w:id="1477718558">
      <w:bodyDiv w:val="1"/>
      <w:marLeft w:val="0"/>
      <w:marRight w:val="0"/>
      <w:marTop w:val="0"/>
      <w:marBottom w:val="0"/>
      <w:divBdr>
        <w:top w:val="none" w:sz="0" w:space="0" w:color="auto"/>
        <w:left w:val="none" w:sz="0" w:space="0" w:color="auto"/>
        <w:bottom w:val="none" w:sz="0" w:space="0" w:color="auto"/>
        <w:right w:val="none" w:sz="0" w:space="0" w:color="auto"/>
      </w:divBdr>
    </w:div>
    <w:div w:id="1480683549">
      <w:bodyDiv w:val="1"/>
      <w:marLeft w:val="0"/>
      <w:marRight w:val="0"/>
      <w:marTop w:val="0"/>
      <w:marBottom w:val="0"/>
      <w:divBdr>
        <w:top w:val="none" w:sz="0" w:space="0" w:color="auto"/>
        <w:left w:val="none" w:sz="0" w:space="0" w:color="auto"/>
        <w:bottom w:val="none" w:sz="0" w:space="0" w:color="auto"/>
        <w:right w:val="none" w:sz="0" w:space="0" w:color="auto"/>
      </w:divBdr>
    </w:div>
    <w:div w:id="1498955575">
      <w:bodyDiv w:val="1"/>
      <w:marLeft w:val="0"/>
      <w:marRight w:val="0"/>
      <w:marTop w:val="0"/>
      <w:marBottom w:val="0"/>
      <w:divBdr>
        <w:top w:val="none" w:sz="0" w:space="0" w:color="auto"/>
        <w:left w:val="none" w:sz="0" w:space="0" w:color="auto"/>
        <w:bottom w:val="none" w:sz="0" w:space="0" w:color="auto"/>
        <w:right w:val="none" w:sz="0" w:space="0" w:color="auto"/>
      </w:divBdr>
    </w:div>
    <w:div w:id="1510875656">
      <w:bodyDiv w:val="1"/>
      <w:marLeft w:val="0"/>
      <w:marRight w:val="0"/>
      <w:marTop w:val="0"/>
      <w:marBottom w:val="0"/>
      <w:divBdr>
        <w:top w:val="none" w:sz="0" w:space="0" w:color="auto"/>
        <w:left w:val="none" w:sz="0" w:space="0" w:color="auto"/>
        <w:bottom w:val="none" w:sz="0" w:space="0" w:color="auto"/>
        <w:right w:val="none" w:sz="0" w:space="0" w:color="auto"/>
      </w:divBdr>
    </w:div>
    <w:div w:id="1538464568">
      <w:bodyDiv w:val="1"/>
      <w:marLeft w:val="0"/>
      <w:marRight w:val="0"/>
      <w:marTop w:val="0"/>
      <w:marBottom w:val="0"/>
      <w:divBdr>
        <w:top w:val="none" w:sz="0" w:space="0" w:color="auto"/>
        <w:left w:val="none" w:sz="0" w:space="0" w:color="auto"/>
        <w:bottom w:val="none" w:sz="0" w:space="0" w:color="auto"/>
        <w:right w:val="none" w:sz="0" w:space="0" w:color="auto"/>
      </w:divBdr>
    </w:div>
    <w:div w:id="1541240265">
      <w:bodyDiv w:val="1"/>
      <w:marLeft w:val="0"/>
      <w:marRight w:val="0"/>
      <w:marTop w:val="0"/>
      <w:marBottom w:val="0"/>
      <w:divBdr>
        <w:top w:val="none" w:sz="0" w:space="0" w:color="auto"/>
        <w:left w:val="none" w:sz="0" w:space="0" w:color="auto"/>
        <w:bottom w:val="none" w:sz="0" w:space="0" w:color="auto"/>
        <w:right w:val="none" w:sz="0" w:space="0" w:color="auto"/>
      </w:divBdr>
    </w:div>
    <w:div w:id="1542327697">
      <w:bodyDiv w:val="1"/>
      <w:marLeft w:val="0"/>
      <w:marRight w:val="0"/>
      <w:marTop w:val="0"/>
      <w:marBottom w:val="0"/>
      <w:divBdr>
        <w:top w:val="none" w:sz="0" w:space="0" w:color="auto"/>
        <w:left w:val="none" w:sz="0" w:space="0" w:color="auto"/>
        <w:bottom w:val="none" w:sz="0" w:space="0" w:color="auto"/>
        <w:right w:val="none" w:sz="0" w:space="0" w:color="auto"/>
      </w:divBdr>
    </w:div>
    <w:div w:id="1570076445">
      <w:bodyDiv w:val="1"/>
      <w:marLeft w:val="0"/>
      <w:marRight w:val="0"/>
      <w:marTop w:val="0"/>
      <w:marBottom w:val="0"/>
      <w:divBdr>
        <w:top w:val="none" w:sz="0" w:space="0" w:color="auto"/>
        <w:left w:val="none" w:sz="0" w:space="0" w:color="auto"/>
        <w:bottom w:val="none" w:sz="0" w:space="0" w:color="auto"/>
        <w:right w:val="none" w:sz="0" w:space="0" w:color="auto"/>
      </w:divBdr>
    </w:div>
    <w:div w:id="1571576604">
      <w:bodyDiv w:val="1"/>
      <w:marLeft w:val="0"/>
      <w:marRight w:val="0"/>
      <w:marTop w:val="0"/>
      <w:marBottom w:val="0"/>
      <w:divBdr>
        <w:top w:val="none" w:sz="0" w:space="0" w:color="auto"/>
        <w:left w:val="none" w:sz="0" w:space="0" w:color="auto"/>
        <w:bottom w:val="none" w:sz="0" w:space="0" w:color="auto"/>
        <w:right w:val="none" w:sz="0" w:space="0" w:color="auto"/>
      </w:divBdr>
    </w:div>
    <w:div w:id="1612669090">
      <w:bodyDiv w:val="1"/>
      <w:marLeft w:val="0"/>
      <w:marRight w:val="0"/>
      <w:marTop w:val="0"/>
      <w:marBottom w:val="0"/>
      <w:divBdr>
        <w:top w:val="none" w:sz="0" w:space="0" w:color="auto"/>
        <w:left w:val="none" w:sz="0" w:space="0" w:color="auto"/>
        <w:bottom w:val="none" w:sz="0" w:space="0" w:color="auto"/>
        <w:right w:val="none" w:sz="0" w:space="0" w:color="auto"/>
      </w:divBdr>
    </w:div>
    <w:div w:id="1614555134">
      <w:bodyDiv w:val="1"/>
      <w:marLeft w:val="0"/>
      <w:marRight w:val="0"/>
      <w:marTop w:val="0"/>
      <w:marBottom w:val="0"/>
      <w:divBdr>
        <w:top w:val="none" w:sz="0" w:space="0" w:color="auto"/>
        <w:left w:val="none" w:sz="0" w:space="0" w:color="auto"/>
        <w:bottom w:val="none" w:sz="0" w:space="0" w:color="auto"/>
        <w:right w:val="none" w:sz="0" w:space="0" w:color="auto"/>
      </w:divBdr>
    </w:div>
    <w:div w:id="1618832211">
      <w:bodyDiv w:val="1"/>
      <w:marLeft w:val="0"/>
      <w:marRight w:val="0"/>
      <w:marTop w:val="0"/>
      <w:marBottom w:val="0"/>
      <w:divBdr>
        <w:top w:val="none" w:sz="0" w:space="0" w:color="auto"/>
        <w:left w:val="none" w:sz="0" w:space="0" w:color="auto"/>
        <w:bottom w:val="none" w:sz="0" w:space="0" w:color="auto"/>
        <w:right w:val="none" w:sz="0" w:space="0" w:color="auto"/>
      </w:divBdr>
    </w:div>
    <w:div w:id="1651399002">
      <w:bodyDiv w:val="1"/>
      <w:marLeft w:val="0"/>
      <w:marRight w:val="0"/>
      <w:marTop w:val="0"/>
      <w:marBottom w:val="0"/>
      <w:divBdr>
        <w:top w:val="none" w:sz="0" w:space="0" w:color="auto"/>
        <w:left w:val="none" w:sz="0" w:space="0" w:color="auto"/>
        <w:bottom w:val="none" w:sz="0" w:space="0" w:color="auto"/>
        <w:right w:val="none" w:sz="0" w:space="0" w:color="auto"/>
      </w:divBdr>
    </w:div>
    <w:div w:id="1680623921">
      <w:bodyDiv w:val="1"/>
      <w:marLeft w:val="0"/>
      <w:marRight w:val="0"/>
      <w:marTop w:val="0"/>
      <w:marBottom w:val="0"/>
      <w:divBdr>
        <w:top w:val="none" w:sz="0" w:space="0" w:color="auto"/>
        <w:left w:val="none" w:sz="0" w:space="0" w:color="auto"/>
        <w:bottom w:val="none" w:sz="0" w:space="0" w:color="auto"/>
        <w:right w:val="none" w:sz="0" w:space="0" w:color="auto"/>
      </w:divBdr>
    </w:div>
    <w:div w:id="1682126004">
      <w:bodyDiv w:val="1"/>
      <w:marLeft w:val="0"/>
      <w:marRight w:val="0"/>
      <w:marTop w:val="0"/>
      <w:marBottom w:val="0"/>
      <w:divBdr>
        <w:top w:val="none" w:sz="0" w:space="0" w:color="auto"/>
        <w:left w:val="none" w:sz="0" w:space="0" w:color="auto"/>
        <w:bottom w:val="none" w:sz="0" w:space="0" w:color="auto"/>
        <w:right w:val="none" w:sz="0" w:space="0" w:color="auto"/>
      </w:divBdr>
    </w:div>
    <w:div w:id="1692144549">
      <w:bodyDiv w:val="1"/>
      <w:marLeft w:val="0"/>
      <w:marRight w:val="0"/>
      <w:marTop w:val="0"/>
      <w:marBottom w:val="0"/>
      <w:divBdr>
        <w:top w:val="none" w:sz="0" w:space="0" w:color="auto"/>
        <w:left w:val="none" w:sz="0" w:space="0" w:color="auto"/>
        <w:bottom w:val="none" w:sz="0" w:space="0" w:color="auto"/>
        <w:right w:val="none" w:sz="0" w:space="0" w:color="auto"/>
      </w:divBdr>
    </w:div>
    <w:div w:id="1693994266">
      <w:bodyDiv w:val="1"/>
      <w:marLeft w:val="0"/>
      <w:marRight w:val="0"/>
      <w:marTop w:val="0"/>
      <w:marBottom w:val="0"/>
      <w:divBdr>
        <w:top w:val="none" w:sz="0" w:space="0" w:color="auto"/>
        <w:left w:val="none" w:sz="0" w:space="0" w:color="auto"/>
        <w:bottom w:val="none" w:sz="0" w:space="0" w:color="auto"/>
        <w:right w:val="none" w:sz="0" w:space="0" w:color="auto"/>
      </w:divBdr>
    </w:div>
    <w:div w:id="1742868640">
      <w:bodyDiv w:val="1"/>
      <w:marLeft w:val="0"/>
      <w:marRight w:val="0"/>
      <w:marTop w:val="0"/>
      <w:marBottom w:val="0"/>
      <w:divBdr>
        <w:top w:val="none" w:sz="0" w:space="0" w:color="auto"/>
        <w:left w:val="none" w:sz="0" w:space="0" w:color="auto"/>
        <w:bottom w:val="none" w:sz="0" w:space="0" w:color="auto"/>
        <w:right w:val="none" w:sz="0" w:space="0" w:color="auto"/>
      </w:divBdr>
    </w:div>
    <w:div w:id="1786346121">
      <w:bodyDiv w:val="1"/>
      <w:marLeft w:val="0"/>
      <w:marRight w:val="0"/>
      <w:marTop w:val="0"/>
      <w:marBottom w:val="0"/>
      <w:divBdr>
        <w:top w:val="none" w:sz="0" w:space="0" w:color="auto"/>
        <w:left w:val="none" w:sz="0" w:space="0" w:color="auto"/>
        <w:bottom w:val="none" w:sz="0" w:space="0" w:color="auto"/>
        <w:right w:val="none" w:sz="0" w:space="0" w:color="auto"/>
      </w:divBdr>
    </w:div>
    <w:div w:id="1794709498">
      <w:bodyDiv w:val="1"/>
      <w:marLeft w:val="0"/>
      <w:marRight w:val="0"/>
      <w:marTop w:val="0"/>
      <w:marBottom w:val="0"/>
      <w:divBdr>
        <w:top w:val="none" w:sz="0" w:space="0" w:color="auto"/>
        <w:left w:val="none" w:sz="0" w:space="0" w:color="auto"/>
        <w:bottom w:val="none" w:sz="0" w:space="0" w:color="auto"/>
        <w:right w:val="none" w:sz="0" w:space="0" w:color="auto"/>
      </w:divBdr>
    </w:div>
    <w:div w:id="1800685255">
      <w:bodyDiv w:val="1"/>
      <w:marLeft w:val="0"/>
      <w:marRight w:val="0"/>
      <w:marTop w:val="0"/>
      <w:marBottom w:val="0"/>
      <w:divBdr>
        <w:top w:val="none" w:sz="0" w:space="0" w:color="auto"/>
        <w:left w:val="none" w:sz="0" w:space="0" w:color="auto"/>
        <w:bottom w:val="none" w:sz="0" w:space="0" w:color="auto"/>
        <w:right w:val="none" w:sz="0" w:space="0" w:color="auto"/>
      </w:divBdr>
    </w:div>
    <w:div w:id="1803426318">
      <w:bodyDiv w:val="1"/>
      <w:marLeft w:val="0"/>
      <w:marRight w:val="0"/>
      <w:marTop w:val="0"/>
      <w:marBottom w:val="0"/>
      <w:divBdr>
        <w:top w:val="none" w:sz="0" w:space="0" w:color="auto"/>
        <w:left w:val="none" w:sz="0" w:space="0" w:color="auto"/>
        <w:bottom w:val="none" w:sz="0" w:space="0" w:color="auto"/>
        <w:right w:val="none" w:sz="0" w:space="0" w:color="auto"/>
      </w:divBdr>
    </w:div>
    <w:div w:id="1817450653">
      <w:bodyDiv w:val="1"/>
      <w:marLeft w:val="0"/>
      <w:marRight w:val="0"/>
      <w:marTop w:val="0"/>
      <w:marBottom w:val="0"/>
      <w:divBdr>
        <w:top w:val="none" w:sz="0" w:space="0" w:color="auto"/>
        <w:left w:val="none" w:sz="0" w:space="0" w:color="auto"/>
        <w:bottom w:val="none" w:sz="0" w:space="0" w:color="auto"/>
        <w:right w:val="none" w:sz="0" w:space="0" w:color="auto"/>
      </w:divBdr>
    </w:div>
    <w:div w:id="1817916428">
      <w:bodyDiv w:val="1"/>
      <w:marLeft w:val="0"/>
      <w:marRight w:val="0"/>
      <w:marTop w:val="0"/>
      <w:marBottom w:val="0"/>
      <w:divBdr>
        <w:top w:val="none" w:sz="0" w:space="0" w:color="auto"/>
        <w:left w:val="none" w:sz="0" w:space="0" w:color="auto"/>
        <w:bottom w:val="none" w:sz="0" w:space="0" w:color="auto"/>
        <w:right w:val="none" w:sz="0" w:space="0" w:color="auto"/>
      </w:divBdr>
    </w:div>
    <w:div w:id="1817988035">
      <w:bodyDiv w:val="1"/>
      <w:marLeft w:val="0"/>
      <w:marRight w:val="0"/>
      <w:marTop w:val="0"/>
      <w:marBottom w:val="0"/>
      <w:divBdr>
        <w:top w:val="none" w:sz="0" w:space="0" w:color="auto"/>
        <w:left w:val="none" w:sz="0" w:space="0" w:color="auto"/>
        <w:bottom w:val="none" w:sz="0" w:space="0" w:color="auto"/>
        <w:right w:val="none" w:sz="0" w:space="0" w:color="auto"/>
      </w:divBdr>
    </w:div>
    <w:div w:id="1838492492">
      <w:bodyDiv w:val="1"/>
      <w:marLeft w:val="0"/>
      <w:marRight w:val="0"/>
      <w:marTop w:val="0"/>
      <w:marBottom w:val="0"/>
      <w:divBdr>
        <w:top w:val="none" w:sz="0" w:space="0" w:color="auto"/>
        <w:left w:val="none" w:sz="0" w:space="0" w:color="auto"/>
        <w:bottom w:val="none" w:sz="0" w:space="0" w:color="auto"/>
        <w:right w:val="none" w:sz="0" w:space="0" w:color="auto"/>
      </w:divBdr>
    </w:div>
    <w:div w:id="1875339622">
      <w:bodyDiv w:val="1"/>
      <w:marLeft w:val="0"/>
      <w:marRight w:val="0"/>
      <w:marTop w:val="0"/>
      <w:marBottom w:val="0"/>
      <w:divBdr>
        <w:top w:val="none" w:sz="0" w:space="0" w:color="auto"/>
        <w:left w:val="none" w:sz="0" w:space="0" w:color="auto"/>
        <w:bottom w:val="none" w:sz="0" w:space="0" w:color="auto"/>
        <w:right w:val="none" w:sz="0" w:space="0" w:color="auto"/>
      </w:divBdr>
    </w:div>
    <w:div w:id="1890990630">
      <w:bodyDiv w:val="1"/>
      <w:marLeft w:val="0"/>
      <w:marRight w:val="0"/>
      <w:marTop w:val="0"/>
      <w:marBottom w:val="0"/>
      <w:divBdr>
        <w:top w:val="none" w:sz="0" w:space="0" w:color="auto"/>
        <w:left w:val="none" w:sz="0" w:space="0" w:color="auto"/>
        <w:bottom w:val="none" w:sz="0" w:space="0" w:color="auto"/>
        <w:right w:val="none" w:sz="0" w:space="0" w:color="auto"/>
      </w:divBdr>
    </w:div>
    <w:div w:id="1894463177">
      <w:bodyDiv w:val="1"/>
      <w:marLeft w:val="0"/>
      <w:marRight w:val="0"/>
      <w:marTop w:val="0"/>
      <w:marBottom w:val="0"/>
      <w:divBdr>
        <w:top w:val="none" w:sz="0" w:space="0" w:color="auto"/>
        <w:left w:val="none" w:sz="0" w:space="0" w:color="auto"/>
        <w:bottom w:val="none" w:sz="0" w:space="0" w:color="auto"/>
        <w:right w:val="none" w:sz="0" w:space="0" w:color="auto"/>
      </w:divBdr>
    </w:div>
    <w:div w:id="1894809312">
      <w:bodyDiv w:val="1"/>
      <w:marLeft w:val="0"/>
      <w:marRight w:val="0"/>
      <w:marTop w:val="0"/>
      <w:marBottom w:val="0"/>
      <w:divBdr>
        <w:top w:val="none" w:sz="0" w:space="0" w:color="auto"/>
        <w:left w:val="none" w:sz="0" w:space="0" w:color="auto"/>
        <w:bottom w:val="none" w:sz="0" w:space="0" w:color="auto"/>
        <w:right w:val="none" w:sz="0" w:space="0" w:color="auto"/>
      </w:divBdr>
    </w:div>
    <w:div w:id="1931546762">
      <w:bodyDiv w:val="1"/>
      <w:marLeft w:val="0"/>
      <w:marRight w:val="0"/>
      <w:marTop w:val="0"/>
      <w:marBottom w:val="0"/>
      <w:divBdr>
        <w:top w:val="none" w:sz="0" w:space="0" w:color="auto"/>
        <w:left w:val="none" w:sz="0" w:space="0" w:color="auto"/>
        <w:bottom w:val="none" w:sz="0" w:space="0" w:color="auto"/>
        <w:right w:val="none" w:sz="0" w:space="0" w:color="auto"/>
      </w:divBdr>
    </w:div>
    <w:div w:id="1940522565">
      <w:bodyDiv w:val="1"/>
      <w:marLeft w:val="0"/>
      <w:marRight w:val="0"/>
      <w:marTop w:val="0"/>
      <w:marBottom w:val="0"/>
      <w:divBdr>
        <w:top w:val="none" w:sz="0" w:space="0" w:color="auto"/>
        <w:left w:val="none" w:sz="0" w:space="0" w:color="auto"/>
        <w:bottom w:val="none" w:sz="0" w:space="0" w:color="auto"/>
        <w:right w:val="none" w:sz="0" w:space="0" w:color="auto"/>
      </w:divBdr>
    </w:div>
    <w:div w:id="1959754648">
      <w:bodyDiv w:val="1"/>
      <w:marLeft w:val="0"/>
      <w:marRight w:val="0"/>
      <w:marTop w:val="0"/>
      <w:marBottom w:val="0"/>
      <w:divBdr>
        <w:top w:val="none" w:sz="0" w:space="0" w:color="auto"/>
        <w:left w:val="none" w:sz="0" w:space="0" w:color="auto"/>
        <w:bottom w:val="none" w:sz="0" w:space="0" w:color="auto"/>
        <w:right w:val="none" w:sz="0" w:space="0" w:color="auto"/>
      </w:divBdr>
    </w:div>
    <w:div w:id="1975791841">
      <w:bodyDiv w:val="1"/>
      <w:marLeft w:val="0"/>
      <w:marRight w:val="0"/>
      <w:marTop w:val="0"/>
      <w:marBottom w:val="0"/>
      <w:divBdr>
        <w:top w:val="none" w:sz="0" w:space="0" w:color="auto"/>
        <w:left w:val="none" w:sz="0" w:space="0" w:color="auto"/>
        <w:bottom w:val="none" w:sz="0" w:space="0" w:color="auto"/>
        <w:right w:val="none" w:sz="0" w:space="0" w:color="auto"/>
      </w:divBdr>
    </w:div>
    <w:div w:id="1981614279">
      <w:bodyDiv w:val="1"/>
      <w:marLeft w:val="0"/>
      <w:marRight w:val="0"/>
      <w:marTop w:val="0"/>
      <w:marBottom w:val="0"/>
      <w:divBdr>
        <w:top w:val="none" w:sz="0" w:space="0" w:color="auto"/>
        <w:left w:val="none" w:sz="0" w:space="0" w:color="auto"/>
        <w:bottom w:val="none" w:sz="0" w:space="0" w:color="auto"/>
        <w:right w:val="none" w:sz="0" w:space="0" w:color="auto"/>
      </w:divBdr>
    </w:div>
    <w:div w:id="1982076922">
      <w:bodyDiv w:val="1"/>
      <w:marLeft w:val="0"/>
      <w:marRight w:val="0"/>
      <w:marTop w:val="0"/>
      <w:marBottom w:val="0"/>
      <w:divBdr>
        <w:top w:val="none" w:sz="0" w:space="0" w:color="auto"/>
        <w:left w:val="none" w:sz="0" w:space="0" w:color="auto"/>
        <w:bottom w:val="none" w:sz="0" w:space="0" w:color="auto"/>
        <w:right w:val="none" w:sz="0" w:space="0" w:color="auto"/>
      </w:divBdr>
    </w:div>
    <w:div w:id="2046632359">
      <w:bodyDiv w:val="1"/>
      <w:marLeft w:val="0"/>
      <w:marRight w:val="0"/>
      <w:marTop w:val="0"/>
      <w:marBottom w:val="0"/>
      <w:divBdr>
        <w:top w:val="none" w:sz="0" w:space="0" w:color="auto"/>
        <w:left w:val="none" w:sz="0" w:space="0" w:color="auto"/>
        <w:bottom w:val="none" w:sz="0" w:space="0" w:color="auto"/>
        <w:right w:val="none" w:sz="0" w:space="0" w:color="auto"/>
      </w:divBdr>
    </w:div>
    <w:div w:id="2057001003">
      <w:bodyDiv w:val="1"/>
      <w:marLeft w:val="0"/>
      <w:marRight w:val="0"/>
      <w:marTop w:val="0"/>
      <w:marBottom w:val="0"/>
      <w:divBdr>
        <w:top w:val="none" w:sz="0" w:space="0" w:color="auto"/>
        <w:left w:val="none" w:sz="0" w:space="0" w:color="auto"/>
        <w:bottom w:val="none" w:sz="0" w:space="0" w:color="auto"/>
        <w:right w:val="none" w:sz="0" w:space="0" w:color="auto"/>
      </w:divBdr>
    </w:div>
    <w:div w:id="2059501277">
      <w:bodyDiv w:val="1"/>
      <w:marLeft w:val="0"/>
      <w:marRight w:val="0"/>
      <w:marTop w:val="0"/>
      <w:marBottom w:val="0"/>
      <w:divBdr>
        <w:top w:val="none" w:sz="0" w:space="0" w:color="auto"/>
        <w:left w:val="none" w:sz="0" w:space="0" w:color="auto"/>
        <w:bottom w:val="none" w:sz="0" w:space="0" w:color="auto"/>
        <w:right w:val="none" w:sz="0" w:space="0" w:color="auto"/>
      </w:divBdr>
    </w:div>
    <w:div w:id="2072850449">
      <w:bodyDiv w:val="1"/>
      <w:marLeft w:val="0"/>
      <w:marRight w:val="0"/>
      <w:marTop w:val="0"/>
      <w:marBottom w:val="0"/>
      <w:divBdr>
        <w:top w:val="none" w:sz="0" w:space="0" w:color="auto"/>
        <w:left w:val="none" w:sz="0" w:space="0" w:color="auto"/>
        <w:bottom w:val="none" w:sz="0" w:space="0" w:color="auto"/>
        <w:right w:val="none" w:sz="0" w:space="0" w:color="auto"/>
      </w:divBdr>
    </w:div>
    <w:div w:id="2082676020">
      <w:bodyDiv w:val="1"/>
      <w:marLeft w:val="0"/>
      <w:marRight w:val="0"/>
      <w:marTop w:val="0"/>
      <w:marBottom w:val="0"/>
      <w:divBdr>
        <w:top w:val="none" w:sz="0" w:space="0" w:color="auto"/>
        <w:left w:val="none" w:sz="0" w:space="0" w:color="auto"/>
        <w:bottom w:val="none" w:sz="0" w:space="0" w:color="auto"/>
        <w:right w:val="none" w:sz="0" w:space="0" w:color="auto"/>
      </w:divBdr>
    </w:div>
    <w:div w:id="20828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udge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B05DD-8EC8-4652-9412-945FA629588F}">
  <ds:schemaRefs>
    <ds:schemaRef ds:uri="http://schemas.microsoft.com/sharepoint/v3/contenttype/forms"/>
  </ds:schemaRefs>
</ds:datastoreItem>
</file>

<file path=customXml/itemProps2.xml><?xml version="1.0" encoding="utf-8"?>
<ds:datastoreItem xmlns:ds="http://schemas.openxmlformats.org/officeDocument/2006/customXml" ds:itemID="{4C42CE1B-99FE-49F8-A71D-94431A288B0F}">
  <ds:schemaRef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microsoft.com/sharepoint/v3"/>
    <ds:schemaRef ds:uri="http://purl.org/dc/elements/1.1/"/>
    <ds:schemaRef ds:uri="244fe85f-b655-4145-9b20-543b75dc1c24"/>
    <ds:schemaRef ds:uri="http://schemas.openxmlformats.org/package/2006/metadata/core-properties"/>
    <ds:schemaRef ds:uri="9115ddca-c623-419f-a3c0-6a1c58c4dac8"/>
    <ds:schemaRef ds:uri="http://www.w3.org/XML/1998/namespace"/>
  </ds:schemaRefs>
</ds:datastoreItem>
</file>

<file path=customXml/itemProps3.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4.xml><?xml version="1.0" encoding="utf-8"?>
<ds:datastoreItem xmlns:ds="http://schemas.openxmlformats.org/officeDocument/2006/customXml" ds:itemID="{7AD8C9B8-EDAD-4F08-AB82-625185B3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13631</TotalTime>
  <Pages>29</Pages>
  <Words>8749</Words>
  <Characters>47687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Budget Paper No. 1</vt:lpstr>
    </vt:vector>
  </TitlesOfParts>
  <Company/>
  <LinksUpToDate>false</LinksUpToDate>
  <CharactersWithSpaces>56324</CharactersWithSpaces>
  <SharedDoc>false</SharedDoc>
  <HLinks>
    <vt:vector size="54" baseType="variant">
      <vt:variant>
        <vt:i4>5374022</vt:i4>
      </vt:variant>
      <vt:variant>
        <vt:i4>309</vt:i4>
      </vt:variant>
      <vt:variant>
        <vt:i4>0</vt:i4>
      </vt:variant>
      <vt:variant>
        <vt:i4>5</vt:i4>
      </vt:variant>
      <vt:variant>
        <vt:lpwstr>http://www.budget.gov.au/</vt:lpwstr>
      </vt:variant>
      <vt:variant>
        <vt:lpwstr/>
      </vt:variant>
      <vt:variant>
        <vt:i4>1179710</vt:i4>
      </vt:variant>
      <vt:variant>
        <vt:i4>82</vt:i4>
      </vt:variant>
      <vt:variant>
        <vt:i4>0</vt:i4>
      </vt:variant>
      <vt:variant>
        <vt:i4>5</vt:i4>
      </vt:variant>
      <vt:variant>
        <vt:lpwstr/>
      </vt:variant>
      <vt:variant>
        <vt:lpwstr>_Toc134182351</vt:lpwstr>
      </vt:variant>
      <vt:variant>
        <vt:i4>1179710</vt:i4>
      </vt:variant>
      <vt:variant>
        <vt:i4>76</vt:i4>
      </vt:variant>
      <vt:variant>
        <vt:i4>0</vt:i4>
      </vt:variant>
      <vt:variant>
        <vt:i4>5</vt:i4>
      </vt:variant>
      <vt:variant>
        <vt:lpwstr/>
      </vt:variant>
      <vt:variant>
        <vt:lpwstr>_Toc134182350</vt:lpwstr>
      </vt:variant>
      <vt:variant>
        <vt:i4>1245246</vt:i4>
      </vt:variant>
      <vt:variant>
        <vt:i4>70</vt:i4>
      </vt:variant>
      <vt:variant>
        <vt:i4>0</vt:i4>
      </vt:variant>
      <vt:variant>
        <vt:i4>5</vt:i4>
      </vt:variant>
      <vt:variant>
        <vt:lpwstr/>
      </vt:variant>
      <vt:variant>
        <vt:lpwstr>_Toc134182349</vt:lpwstr>
      </vt:variant>
      <vt:variant>
        <vt:i4>1245246</vt:i4>
      </vt:variant>
      <vt:variant>
        <vt:i4>64</vt:i4>
      </vt:variant>
      <vt:variant>
        <vt:i4>0</vt:i4>
      </vt:variant>
      <vt:variant>
        <vt:i4>5</vt:i4>
      </vt:variant>
      <vt:variant>
        <vt:lpwstr/>
      </vt:variant>
      <vt:variant>
        <vt:lpwstr>_Toc134182348</vt:lpwstr>
      </vt:variant>
      <vt:variant>
        <vt:i4>1245246</vt:i4>
      </vt:variant>
      <vt:variant>
        <vt:i4>58</vt:i4>
      </vt:variant>
      <vt:variant>
        <vt:i4>0</vt:i4>
      </vt:variant>
      <vt:variant>
        <vt:i4>5</vt:i4>
      </vt:variant>
      <vt:variant>
        <vt:lpwstr/>
      </vt:variant>
      <vt:variant>
        <vt:lpwstr>_Toc134182347</vt:lpwstr>
      </vt:variant>
      <vt:variant>
        <vt:i4>1245246</vt:i4>
      </vt:variant>
      <vt:variant>
        <vt:i4>52</vt:i4>
      </vt:variant>
      <vt:variant>
        <vt:i4>0</vt:i4>
      </vt:variant>
      <vt:variant>
        <vt:i4>5</vt:i4>
      </vt:variant>
      <vt:variant>
        <vt:lpwstr/>
      </vt:variant>
      <vt:variant>
        <vt:lpwstr>_Toc134182346</vt:lpwstr>
      </vt:variant>
      <vt:variant>
        <vt:i4>1245246</vt:i4>
      </vt:variant>
      <vt:variant>
        <vt:i4>46</vt:i4>
      </vt:variant>
      <vt:variant>
        <vt:i4>0</vt:i4>
      </vt:variant>
      <vt:variant>
        <vt:i4>5</vt:i4>
      </vt:variant>
      <vt:variant>
        <vt:lpwstr/>
      </vt:variant>
      <vt:variant>
        <vt:lpwstr>_Toc134182345</vt:lpwstr>
      </vt:variant>
      <vt:variant>
        <vt:i4>1245246</vt:i4>
      </vt:variant>
      <vt:variant>
        <vt:i4>40</vt:i4>
      </vt:variant>
      <vt:variant>
        <vt:i4>0</vt:i4>
      </vt:variant>
      <vt:variant>
        <vt:i4>5</vt:i4>
      </vt:variant>
      <vt:variant>
        <vt:lpwstr/>
      </vt:variant>
      <vt:variant>
        <vt:lpwstr>_Toc134182344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1</dc:title>
  <dc:subject>Statement 5: Revenue</dc:subject>
  <dc:creator>Australian Government</dc:creator>
  <cp:keywords/>
  <dc:description/>
  <cp:lastModifiedBy>Van Der Hoeven, Megan</cp:lastModifiedBy>
  <cp:revision>2093</cp:revision>
  <cp:lastPrinted>2023-05-07T03:43:00Z</cp:lastPrinted>
  <dcterms:created xsi:type="dcterms:W3CDTF">2023-03-22T14:26:00Z</dcterms:created>
  <dcterms:modified xsi:type="dcterms:W3CDTF">2023-05-08T02:59:00Z</dcterms:modified>
</cp:coreProperties>
</file>